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78002" w14:textId="77777777" w:rsidR="00780AC1" w:rsidRPr="008868AA" w:rsidRDefault="00780AC1" w:rsidP="00780AC1">
      <w:pPr>
        <w:jc w:val="right"/>
      </w:pPr>
      <w:bookmarkStart w:id="0" w:name="_Hlk119065719"/>
      <w:r w:rsidRPr="008868AA">
        <w:rPr>
          <w:noProof/>
          <w:lang w:eastAsia="en-GB"/>
        </w:rPr>
        <w:drawing>
          <wp:anchor distT="0" distB="0" distL="114300" distR="114300" simplePos="0" relativeHeight="251659264" behindDoc="0" locked="0" layoutInCell="1" allowOverlap="1" wp14:anchorId="2E5F7A24" wp14:editId="1FDD8980">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8868AA">
        <w:rPr>
          <w:noProof/>
          <w:color w:val="005794"/>
          <w:sz w:val="52"/>
          <w:szCs w:val="52"/>
          <w:lang w:eastAsia="en-GB"/>
        </w:rPr>
        <mc:AlternateContent>
          <mc:Choice Requires="wps">
            <w:drawing>
              <wp:anchor distT="45720" distB="45720" distL="114300" distR="114300" simplePos="0" relativeHeight="251660288" behindDoc="0" locked="0" layoutInCell="1" allowOverlap="1" wp14:anchorId="10F0C5D9" wp14:editId="7FE2E135">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5DB59504" w14:textId="77777777" w:rsidR="00780AC1" w:rsidRDefault="00780AC1" w:rsidP="00780AC1">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1A2290B3" w14:textId="77777777" w:rsidR="00780AC1" w:rsidRPr="003F2DF6" w:rsidRDefault="00780AC1" w:rsidP="00780AC1">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F0C5D9" id="_x0000_t202" coordsize="21600,21600" o:spt="202" path="m,l,21600r21600,l21600,xe">
                <v:stroke joinstyle="miter"/>
                <v:path gradientshapeok="t" o:connecttype="rect"/>
              </v:shapetype>
              <v:shape id="Text Box 217" o:spid="_x0000_s1026" type="#_x0000_t202" style="position:absolute;left:0;text-align:left;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5DB59504" w14:textId="77777777" w:rsidR="00780AC1" w:rsidRDefault="00780AC1" w:rsidP="00780AC1">
                      <w:pPr>
                        <w:jc w:val="right"/>
                        <w:rPr>
                          <w:rFonts w:asciiTheme="majorHAnsi" w:hAnsiTheme="majorHAnsi" w:cstheme="majorHAnsi"/>
                          <w:color w:val="005DA5"/>
                          <w:sz w:val="48"/>
                          <w:szCs w:val="48"/>
                        </w:rPr>
                      </w:pPr>
                      <w:r>
                        <w:rPr>
                          <w:rFonts w:asciiTheme="majorHAnsi" w:hAnsiTheme="majorHAnsi" w:cstheme="majorHAnsi"/>
                          <w:color w:val="005DA5"/>
                          <w:sz w:val="48"/>
                          <w:szCs w:val="48"/>
                        </w:rPr>
                        <w:t>Media Alert</w:t>
                      </w:r>
                    </w:p>
                    <w:p w14:paraId="1A2290B3" w14:textId="77777777" w:rsidR="00780AC1" w:rsidRPr="003F2DF6" w:rsidRDefault="00780AC1" w:rsidP="00780AC1">
                      <w:pPr>
                        <w:jc w:val="center"/>
                        <w:rPr>
                          <w:rFonts w:asciiTheme="majorHAnsi" w:hAnsiTheme="majorHAnsi" w:cstheme="majorHAnsi"/>
                          <w:color w:val="005DA5"/>
                          <w:sz w:val="48"/>
                          <w:szCs w:val="48"/>
                        </w:rPr>
                      </w:pPr>
                    </w:p>
                  </w:txbxContent>
                </v:textbox>
                <w10:wrap type="square"/>
              </v:shape>
            </w:pict>
          </mc:Fallback>
        </mc:AlternateContent>
      </w:r>
    </w:p>
    <w:p w14:paraId="7C36AF54" w14:textId="77777777" w:rsidR="00780AC1" w:rsidRPr="008868AA" w:rsidRDefault="00780AC1" w:rsidP="00780AC1">
      <w:pPr>
        <w:ind w:right="-360"/>
        <w:rPr>
          <w:rFonts w:cstheme="minorHAnsi"/>
          <w:b/>
        </w:rPr>
      </w:pPr>
    </w:p>
    <w:p w14:paraId="58F12B37" w14:textId="77777777" w:rsidR="00780AC1" w:rsidRPr="00553D21" w:rsidRDefault="00780AC1" w:rsidP="00780AC1">
      <w:pPr>
        <w:rPr>
          <w:color w:val="005794"/>
          <w:sz w:val="52"/>
          <w:szCs w:val="52"/>
        </w:rPr>
      </w:pPr>
      <w:r w:rsidRPr="008868AA">
        <w:rPr>
          <w:noProof/>
          <w:color w:val="005794"/>
          <w:sz w:val="52"/>
          <w:szCs w:val="52"/>
          <w:lang w:eastAsia="en-GB"/>
        </w:rPr>
        <mc:AlternateContent>
          <mc:Choice Requires="wps">
            <w:drawing>
              <wp:anchor distT="0" distB="0" distL="114300" distR="114300" simplePos="0" relativeHeight="251661312" behindDoc="0" locked="0" layoutInCell="1" allowOverlap="1" wp14:anchorId="3DE6A41E" wp14:editId="5432E219">
                <wp:simplePos x="0" y="0"/>
                <wp:positionH relativeFrom="column">
                  <wp:posOffset>2072640</wp:posOffset>
                </wp:positionH>
                <wp:positionV relativeFrom="paragraph">
                  <wp:posOffset>151765</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949182"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1.95pt" to="465.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" strokecolor="#eb6854" strokeweight=".5pt">
                <v:stroke joinstyle="miter"/>
              </v:line>
            </w:pict>
          </mc:Fallback>
        </mc:AlternateContent>
      </w:r>
    </w:p>
    <w:p w14:paraId="3713C701" w14:textId="102CAB68" w:rsidR="00780AC1" w:rsidRPr="00553D21" w:rsidRDefault="00780AC1" w:rsidP="00780AC1">
      <w:pPr>
        <w:ind w:right="-360"/>
        <w:rPr>
          <w:rFonts w:cstheme="minorHAnsi"/>
          <w:b/>
        </w:rPr>
      </w:pPr>
      <w:r w:rsidRPr="008868AA">
        <w:rPr>
          <w:rFonts w:cstheme="minorHAnsi"/>
          <w:b/>
        </w:rPr>
        <w:t xml:space="preserve">Issue Date: </w:t>
      </w:r>
      <w:r>
        <w:rPr>
          <w:rFonts w:cstheme="minorHAnsi"/>
          <w:b/>
        </w:rPr>
        <w:t>8</w:t>
      </w:r>
      <w:r w:rsidRPr="00780AC1">
        <w:rPr>
          <w:rFonts w:cstheme="minorHAnsi"/>
          <w:b/>
          <w:vertAlign w:val="superscript"/>
        </w:rPr>
        <w:t>th</w:t>
      </w:r>
      <w:r>
        <w:rPr>
          <w:rFonts w:cstheme="minorHAnsi"/>
          <w:b/>
        </w:rPr>
        <w:t xml:space="preserve"> May 2024</w:t>
      </w:r>
    </w:p>
    <w:p w14:paraId="0CC64C08" w14:textId="77777777" w:rsidR="00780AC1" w:rsidRDefault="00780AC1" w:rsidP="00780AC1">
      <w:pPr>
        <w:ind w:right="-360"/>
        <w:rPr>
          <w:rFonts w:cstheme="minorHAnsi"/>
          <w:u w:val="single"/>
        </w:rPr>
      </w:pPr>
      <w:r w:rsidRPr="008868AA">
        <w:rPr>
          <w:rFonts w:cstheme="minorHAnsi"/>
          <w:u w:val="single"/>
        </w:rPr>
        <w:t>For Immediate Release</w:t>
      </w:r>
      <w:bookmarkEnd w:id="0"/>
    </w:p>
    <w:p w14:paraId="7318CF56" w14:textId="77777777" w:rsidR="00780AC1" w:rsidRDefault="00780AC1" w:rsidP="001D5235">
      <w:pPr>
        <w:pStyle w:val="paragraph"/>
        <w:spacing w:before="0" w:beforeAutospacing="0" w:after="0" w:afterAutospacing="0"/>
        <w:textAlignment w:val="baseline"/>
        <w:rPr>
          <w:rStyle w:val="normaltextrun"/>
          <w:rFonts w:ascii="Calibri" w:eastAsiaTheme="majorEastAsia" w:hAnsi="Calibri" w:cs="Calibri"/>
          <w:b/>
          <w:bCs/>
          <w:i/>
          <w:iCs/>
          <w:u w:val="single"/>
        </w:rPr>
      </w:pPr>
    </w:p>
    <w:p w14:paraId="301B063E" w14:textId="5C10299A" w:rsidR="006A2100" w:rsidRPr="001D5235" w:rsidRDefault="006A2100" w:rsidP="001D5235">
      <w:pPr>
        <w:pStyle w:val="paragraph"/>
        <w:spacing w:before="0" w:beforeAutospacing="0" w:after="0" w:afterAutospacing="0"/>
        <w:textAlignment w:val="baseline"/>
        <w:rPr>
          <w:rFonts w:ascii="Calibri" w:hAnsi="Calibri" w:cs="Calibri"/>
        </w:rPr>
      </w:pPr>
      <w:r w:rsidRPr="001D5235">
        <w:rPr>
          <w:rStyle w:val="normaltextrun"/>
          <w:rFonts w:ascii="Calibri" w:eastAsiaTheme="majorEastAsia" w:hAnsi="Calibri" w:cs="Calibri"/>
          <w:b/>
          <w:bCs/>
          <w:i/>
          <w:iCs/>
          <w:u w:val="single"/>
        </w:rPr>
        <w:t>PCI</w:t>
      </w:r>
      <w:r w:rsidR="00CB121E">
        <w:rPr>
          <w:rStyle w:val="normaltextrun"/>
          <w:rFonts w:ascii="Calibri" w:eastAsiaTheme="majorEastAsia" w:hAnsi="Calibri" w:cs="Calibri"/>
          <w:b/>
          <w:bCs/>
          <w:i/>
          <w:iCs/>
          <w:u w:val="single"/>
        </w:rPr>
        <w:t xml:space="preserve"> </w:t>
      </w:r>
      <w:r w:rsidRPr="001D5235">
        <w:rPr>
          <w:rStyle w:val="normaltextrun"/>
          <w:rFonts w:ascii="Calibri" w:eastAsiaTheme="majorEastAsia" w:hAnsi="Calibri" w:cs="Calibri"/>
          <w:b/>
          <w:bCs/>
          <w:i/>
          <w:iCs/>
          <w:u w:val="single"/>
        </w:rPr>
        <w:t>Days 2024, Berry Global, Stand B</w:t>
      </w:r>
      <w:r w:rsidR="003D581E" w:rsidRPr="001D5235">
        <w:rPr>
          <w:rStyle w:val="normaltextrun"/>
          <w:rFonts w:ascii="Calibri" w:eastAsiaTheme="majorEastAsia" w:hAnsi="Calibri" w:cs="Calibri"/>
          <w:b/>
          <w:bCs/>
          <w:i/>
          <w:iCs/>
          <w:u w:val="single"/>
        </w:rPr>
        <w:t>.</w:t>
      </w:r>
      <w:r w:rsidRPr="001D5235">
        <w:rPr>
          <w:rStyle w:val="normaltextrun"/>
          <w:rFonts w:ascii="Calibri" w:eastAsiaTheme="majorEastAsia" w:hAnsi="Calibri" w:cs="Calibri"/>
          <w:b/>
          <w:bCs/>
          <w:i/>
          <w:iCs/>
          <w:u w:val="single"/>
        </w:rPr>
        <w:t>46</w:t>
      </w:r>
    </w:p>
    <w:p w14:paraId="17CB4D32" w14:textId="77777777" w:rsidR="006A2100" w:rsidRPr="001D5235" w:rsidRDefault="006A2100" w:rsidP="001D5235">
      <w:pPr>
        <w:pStyle w:val="paragraph"/>
        <w:spacing w:before="0" w:beforeAutospacing="0" w:after="0" w:afterAutospacing="0"/>
        <w:textAlignment w:val="baseline"/>
        <w:rPr>
          <w:rFonts w:ascii="Calibri" w:hAnsi="Calibri" w:cs="Calibri"/>
        </w:rPr>
      </w:pPr>
      <w:r w:rsidRPr="001D5235">
        <w:rPr>
          <w:rStyle w:val="normaltextrun"/>
          <w:rFonts w:ascii="Calibri" w:eastAsiaTheme="majorEastAsia" w:hAnsi="Calibri" w:cs="Calibri"/>
        </w:rPr>
        <w:t> </w:t>
      </w:r>
      <w:r w:rsidRPr="001D5235">
        <w:rPr>
          <w:rStyle w:val="eop"/>
          <w:rFonts w:ascii="Calibri" w:eastAsiaTheme="majorEastAsia" w:hAnsi="Calibri" w:cs="Calibri"/>
        </w:rPr>
        <w:t> </w:t>
      </w:r>
    </w:p>
    <w:p w14:paraId="6D5D3461" w14:textId="4BED48A0" w:rsidR="006A2100" w:rsidRPr="001D5235" w:rsidRDefault="00A153ED" w:rsidP="001D5235">
      <w:pPr>
        <w:pStyle w:val="paragraph"/>
        <w:spacing w:before="0" w:beforeAutospacing="0" w:after="0" w:afterAutospacing="0"/>
        <w:textAlignment w:val="baseline"/>
        <w:rPr>
          <w:rFonts w:ascii="Calibri" w:hAnsi="Calibri" w:cs="Calibri"/>
        </w:rPr>
      </w:pPr>
      <w:r>
        <w:rPr>
          <w:rStyle w:val="normaltextrun"/>
          <w:rFonts w:ascii="Calibri" w:eastAsiaTheme="majorEastAsia" w:hAnsi="Calibri" w:cs="Calibri"/>
          <w:b/>
          <w:bCs/>
        </w:rPr>
        <w:t xml:space="preserve">Berry </w:t>
      </w:r>
      <w:r w:rsidR="0083735F">
        <w:rPr>
          <w:rStyle w:val="normaltextrun"/>
          <w:rFonts w:ascii="Calibri" w:eastAsiaTheme="majorEastAsia" w:hAnsi="Calibri" w:cs="Calibri"/>
          <w:b/>
          <w:bCs/>
        </w:rPr>
        <w:t>To Demonstrate it</w:t>
      </w:r>
      <w:r w:rsidR="00935DF0">
        <w:rPr>
          <w:rStyle w:val="normaltextrun"/>
          <w:rFonts w:ascii="Calibri" w:eastAsiaTheme="majorEastAsia" w:hAnsi="Calibri" w:cs="Calibri"/>
          <w:b/>
          <w:bCs/>
        </w:rPr>
        <w:t>s</w:t>
      </w:r>
      <w:r w:rsidR="0083735F">
        <w:rPr>
          <w:rStyle w:val="normaltextrun"/>
          <w:rFonts w:ascii="Calibri" w:eastAsiaTheme="majorEastAsia" w:hAnsi="Calibri" w:cs="Calibri"/>
          <w:b/>
          <w:bCs/>
        </w:rPr>
        <w:t xml:space="preserve"> Patient-Centred Approach at </w:t>
      </w:r>
      <w:r w:rsidR="006A2100" w:rsidRPr="001D5235">
        <w:rPr>
          <w:rStyle w:val="normaltextrun"/>
          <w:rFonts w:ascii="Calibri" w:eastAsiaTheme="majorEastAsia" w:hAnsi="Calibri" w:cs="Calibri"/>
          <w:b/>
          <w:bCs/>
        </w:rPr>
        <w:t>PCI</w:t>
      </w:r>
      <w:r w:rsidR="0083735F">
        <w:rPr>
          <w:rStyle w:val="normaltextrun"/>
          <w:rFonts w:ascii="Calibri" w:eastAsiaTheme="majorEastAsia" w:hAnsi="Calibri" w:cs="Calibri"/>
          <w:b/>
          <w:bCs/>
        </w:rPr>
        <w:t xml:space="preserve"> </w:t>
      </w:r>
      <w:r w:rsidR="006A2100" w:rsidRPr="001D5235">
        <w:rPr>
          <w:rStyle w:val="normaltextrun"/>
          <w:rFonts w:ascii="Calibri" w:eastAsiaTheme="majorEastAsia" w:hAnsi="Calibri" w:cs="Calibri"/>
          <w:b/>
          <w:bCs/>
        </w:rPr>
        <w:t>Days 2024</w:t>
      </w:r>
      <w:r w:rsidR="006A2100" w:rsidRPr="001D5235">
        <w:rPr>
          <w:rStyle w:val="eop"/>
          <w:rFonts w:ascii="Calibri" w:eastAsiaTheme="majorEastAsia" w:hAnsi="Calibri" w:cs="Calibri"/>
        </w:rPr>
        <w:t> </w:t>
      </w:r>
    </w:p>
    <w:p w14:paraId="1445B201" w14:textId="77777777" w:rsidR="00062A3F" w:rsidRPr="001D5235" w:rsidRDefault="00062A3F" w:rsidP="001D5235">
      <w:pPr>
        <w:spacing w:after="0" w:line="240" w:lineRule="auto"/>
        <w:rPr>
          <w:rFonts w:ascii="Calibri" w:hAnsi="Calibri" w:cs="Calibri"/>
          <w:sz w:val="24"/>
          <w:szCs w:val="24"/>
        </w:rPr>
      </w:pPr>
    </w:p>
    <w:p w14:paraId="061A7D01" w14:textId="606096A4" w:rsidR="007F0CC5" w:rsidRPr="001D5235" w:rsidRDefault="0076173A" w:rsidP="001D5235">
      <w:pPr>
        <w:spacing w:after="0" w:line="240" w:lineRule="auto"/>
        <w:rPr>
          <w:rFonts w:ascii="Calibri" w:hAnsi="Calibri" w:cs="Calibri"/>
          <w:sz w:val="24"/>
          <w:szCs w:val="24"/>
        </w:rPr>
      </w:pPr>
      <w:r w:rsidRPr="001D5235">
        <w:rPr>
          <w:rFonts w:ascii="Calibri" w:hAnsi="Calibri" w:cs="Calibri"/>
          <w:sz w:val="24"/>
          <w:szCs w:val="24"/>
        </w:rPr>
        <w:t xml:space="preserve">Berry </w:t>
      </w:r>
      <w:proofErr w:type="spellStart"/>
      <w:r w:rsidRPr="001D5235">
        <w:rPr>
          <w:rFonts w:ascii="Calibri" w:hAnsi="Calibri" w:cs="Calibri"/>
          <w:sz w:val="24"/>
          <w:szCs w:val="24"/>
        </w:rPr>
        <w:t>Global’s</w:t>
      </w:r>
      <w:proofErr w:type="spellEnd"/>
      <w:r w:rsidRPr="001D5235">
        <w:rPr>
          <w:rFonts w:ascii="Calibri" w:hAnsi="Calibri" w:cs="Calibri"/>
          <w:sz w:val="24"/>
          <w:szCs w:val="24"/>
        </w:rPr>
        <w:t xml:space="preserve"> solutions for patient-centred packaging and drug delivery de</w:t>
      </w:r>
      <w:r w:rsidR="00B9258B" w:rsidRPr="001D5235">
        <w:rPr>
          <w:rFonts w:ascii="Calibri" w:hAnsi="Calibri" w:cs="Calibri"/>
          <w:sz w:val="24"/>
          <w:szCs w:val="24"/>
        </w:rPr>
        <w:t>vices</w:t>
      </w:r>
      <w:r w:rsidR="00474CC0" w:rsidRPr="001D5235">
        <w:rPr>
          <w:rStyle w:val="normaltextrun"/>
          <w:rFonts w:ascii="Calibri" w:eastAsiaTheme="majorEastAsia" w:hAnsi="Calibri" w:cs="Calibri"/>
          <w:color w:val="000000"/>
          <w:sz w:val="24"/>
          <w:szCs w:val="24"/>
          <w:shd w:val="clear" w:color="auto" w:fill="FFFFFF"/>
        </w:rPr>
        <w:t xml:space="preserve"> that enhance dosing, administration, and medication adherence</w:t>
      </w:r>
      <w:r w:rsidR="00B9258B" w:rsidRPr="001D5235">
        <w:rPr>
          <w:rFonts w:ascii="Calibri" w:hAnsi="Calibri" w:cs="Calibri"/>
          <w:sz w:val="24"/>
          <w:szCs w:val="24"/>
        </w:rPr>
        <w:t xml:space="preserve"> will be showcased at this year’s PCI Days exhibition</w:t>
      </w:r>
      <w:r w:rsidR="00565A4D">
        <w:rPr>
          <w:rFonts w:ascii="Calibri" w:hAnsi="Calibri" w:cs="Calibri"/>
          <w:sz w:val="24"/>
          <w:szCs w:val="24"/>
        </w:rPr>
        <w:t xml:space="preserve"> (stand B.46).</w:t>
      </w:r>
    </w:p>
    <w:p w14:paraId="5DB16EC1" w14:textId="77777777" w:rsidR="00B9258B" w:rsidRPr="001D5235" w:rsidRDefault="00B9258B" w:rsidP="001D5235">
      <w:pPr>
        <w:spacing w:after="0" w:line="240" w:lineRule="auto"/>
        <w:rPr>
          <w:rFonts w:ascii="Calibri" w:hAnsi="Calibri" w:cs="Calibri"/>
          <w:sz w:val="24"/>
          <w:szCs w:val="24"/>
        </w:rPr>
      </w:pPr>
    </w:p>
    <w:p w14:paraId="58AEBE10" w14:textId="03633962" w:rsidR="000A632C" w:rsidRPr="001D5235" w:rsidRDefault="00AB4183" w:rsidP="001D5235">
      <w:pPr>
        <w:spacing w:after="0" w:line="240" w:lineRule="auto"/>
        <w:rPr>
          <w:rFonts w:ascii="Calibri" w:eastAsiaTheme="majorEastAsia" w:hAnsi="Calibri" w:cs="Calibri"/>
          <w:sz w:val="24"/>
          <w:szCs w:val="24"/>
        </w:rPr>
      </w:pPr>
      <w:r w:rsidRPr="001D5235">
        <w:rPr>
          <w:rFonts w:ascii="Calibri" w:hAnsi="Calibri" w:cs="Calibri"/>
          <w:sz w:val="24"/>
          <w:szCs w:val="24"/>
        </w:rPr>
        <w:t>As part of the company’s ‘Dose Better’ initiative</w:t>
      </w:r>
      <w:r w:rsidR="003A13E0" w:rsidRPr="001D5235">
        <w:rPr>
          <w:rFonts w:ascii="Calibri" w:hAnsi="Calibri" w:cs="Calibri"/>
          <w:sz w:val="24"/>
          <w:szCs w:val="24"/>
        </w:rPr>
        <w:t xml:space="preserve">, Berry will present a range of products that help deliver </w:t>
      </w:r>
      <w:r w:rsidR="00043372" w:rsidRPr="001D5235">
        <w:rPr>
          <w:rFonts w:ascii="Calibri" w:hAnsi="Calibri" w:cs="Calibri"/>
          <w:sz w:val="24"/>
          <w:szCs w:val="24"/>
        </w:rPr>
        <w:t>a</w:t>
      </w:r>
      <w:r w:rsidR="00043372" w:rsidRPr="001D5235">
        <w:rPr>
          <w:rFonts w:ascii="Calibri" w:eastAsiaTheme="majorEastAsia" w:hAnsi="Calibri" w:cs="Calibri"/>
          <w:sz w:val="24"/>
          <w:szCs w:val="24"/>
        </w:rPr>
        <w:t xml:space="preserve"> better healthcare experience by improving quality of care, while helping to reduce costs and being designed for the circular economy.</w:t>
      </w:r>
      <w:r w:rsidR="00A44446" w:rsidRPr="001D5235">
        <w:rPr>
          <w:rFonts w:ascii="Calibri" w:eastAsiaTheme="majorEastAsia" w:hAnsi="Calibri" w:cs="Calibri"/>
          <w:sz w:val="24"/>
          <w:szCs w:val="24"/>
        </w:rPr>
        <w:t xml:space="preserve"> These include </w:t>
      </w:r>
      <w:r w:rsidR="000A632C" w:rsidRPr="001D5235">
        <w:rPr>
          <w:rFonts w:ascii="Calibri" w:eastAsiaTheme="majorEastAsia" w:hAnsi="Calibri" w:cs="Calibri"/>
          <w:sz w:val="24"/>
          <w:szCs w:val="24"/>
        </w:rPr>
        <w:t>ophthalmic solutions, closures and bottles, pill jars</w:t>
      </w:r>
      <w:r w:rsidR="008B1E82" w:rsidRPr="001D5235">
        <w:rPr>
          <w:rFonts w:ascii="Calibri" w:eastAsiaTheme="majorEastAsia" w:hAnsi="Calibri" w:cs="Calibri"/>
          <w:sz w:val="24"/>
          <w:szCs w:val="24"/>
        </w:rPr>
        <w:t>,</w:t>
      </w:r>
      <w:r w:rsidR="000C65BA" w:rsidRPr="001D5235">
        <w:rPr>
          <w:rFonts w:ascii="Calibri" w:eastAsiaTheme="majorEastAsia" w:hAnsi="Calibri" w:cs="Calibri"/>
          <w:sz w:val="24"/>
          <w:szCs w:val="24"/>
        </w:rPr>
        <w:t xml:space="preserve"> </w:t>
      </w:r>
      <w:r w:rsidR="007301B7">
        <w:rPr>
          <w:rFonts w:ascii="Calibri" w:eastAsiaTheme="majorEastAsia" w:hAnsi="Calibri" w:cs="Calibri"/>
          <w:sz w:val="24"/>
          <w:szCs w:val="24"/>
        </w:rPr>
        <w:t xml:space="preserve">and </w:t>
      </w:r>
      <w:r w:rsidR="000A632C" w:rsidRPr="001D5235">
        <w:rPr>
          <w:rFonts w:ascii="Calibri" w:eastAsiaTheme="majorEastAsia" w:hAnsi="Calibri" w:cs="Calibri"/>
          <w:sz w:val="24"/>
          <w:szCs w:val="24"/>
        </w:rPr>
        <w:t>airless systems for dermal delivery</w:t>
      </w:r>
      <w:r w:rsidR="00016FA6">
        <w:rPr>
          <w:rFonts w:ascii="Calibri" w:eastAsiaTheme="majorEastAsia" w:hAnsi="Calibri" w:cs="Calibri"/>
          <w:sz w:val="24"/>
          <w:szCs w:val="24"/>
        </w:rPr>
        <w:t>.</w:t>
      </w:r>
    </w:p>
    <w:p w14:paraId="7971D9BA" w14:textId="77777777" w:rsidR="007C4A38" w:rsidRPr="001D5235" w:rsidRDefault="007C4A38" w:rsidP="001D5235">
      <w:pPr>
        <w:spacing w:after="0" w:line="240" w:lineRule="auto"/>
        <w:rPr>
          <w:rFonts w:ascii="Calibri" w:eastAsiaTheme="majorEastAsia" w:hAnsi="Calibri" w:cs="Calibri"/>
          <w:sz w:val="24"/>
          <w:szCs w:val="24"/>
        </w:rPr>
      </w:pPr>
    </w:p>
    <w:p w14:paraId="55CA834D" w14:textId="68D9E178" w:rsidR="007C4A38" w:rsidRDefault="004E721F" w:rsidP="001D5235">
      <w:pPr>
        <w:spacing w:after="0" w:line="240" w:lineRule="auto"/>
        <w:rPr>
          <w:rFonts w:ascii="Calibri" w:eastAsiaTheme="majorEastAsia" w:hAnsi="Calibri" w:cs="Calibri"/>
          <w:sz w:val="24"/>
          <w:szCs w:val="24"/>
        </w:rPr>
      </w:pPr>
      <w:r w:rsidRPr="001D5235">
        <w:rPr>
          <w:rFonts w:ascii="Calibri" w:eastAsiaTheme="majorEastAsia" w:hAnsi="Calibri" w:cs="Calibri"/>
          <w:sz w:val="24"/>
          <w:szCs w:val="24"/>
        </w:rPr>
        <w:t>A major highlight will be Berry’s PET bundle</w:t>
      </w:r>
      <w:r w:rsidR="00AF2F5F" w:rsidRPr="001D5235">
        <w:rPr>
          <w:rFonts w:ascii="Calibri" w:eastAsiaTheme="majorEastAsia" w:hAnsi="Calibri" w:cs="Calibri"/>
          <w:sz w:val="24"/>
          <w:szCs w:val="24"/>
        </w:rPr>
        <w:t xml:space="preserve">, which provides pharmaceutical and medical companies with an extensive range of standard bottle designs </w:t>
      </w:r>
      <w:r w:rsidR="00E21609" w:rsidRPr="001D5235">
        <w:rPr>
          <w:rFonts w:ascii="Calibri" w:eastAsiaTheme="majorEastAsia" w:hAnsi="Calibri" w:cs="Calibri"/>
          <w:sz w:val="24"/>
          <w:szCs w:val="24"/>
        </w:rPr>
        <w:t>and sizes</w:t>
      </w:r>
      <w:r w:rsidR="008C3F9D">
        <w:rPr>
          <w:rFonts w:ascii="Calibri" w:eastAsiaTheme="majorEastAsia" w:hAnsi="Calibri" w:cs="Calibri"/>
          <w:sz w:val="24"/>
          <w:szCs w:val="24"/>
        </w:rPr>
        <w:t>,</w:t>
      </w:r>
      <w:r w:rsidR="00E21609" w:rsidRPr="001D5235">
        <w:rPr>
          <w:rFonts w:ascii="Calibri" w:eastAsiaTheme="majorEastAsia" w:hAnsi="Calibri" w:cs="Calibri"/>
          <w:sz w:val="24"/>
          <w:szCs w:val="24"/>
        </w:rPr>
        <w:t xml:space="preserve"> </w:t>
      </w:r>
      <w:r w:rsidR="00FA3B86">
        <w:rPr>
          <w:rFonts w:ascii="Calibri" w:eastAsiaTheme="majorEastAsia" w:hAnsi="Calibri" w:cs="Calibri"/>
          <w:sz w:val="24"/>
          <w:szCs w:val="24"/>
        </w:rPr>
        <w:t>as well as</w:t>
      </w:r>
      <w:r w:rsidR="00E21609" w:rsidRPr="001D5235">
        <w:rPr>
          <w:rFonts w:ascii="Calibri" w:eastAsiaTheme="majorEastAsia" w:hAnsi="Calibri" w:cs="Calibri"/>
          <w:sz w:val="24"/>
          <w:szCs w:val="24"/>
        </w:rPr>
        <w:t xml:space="preserve"> accompanying closures, </w:t>
      </w:r>
      <w:proofErr w:type="gramStart"/>
      <w:r w:rsidR="0088644B" w:rsidRPr="001D5235">
        <w:rPr>
          <w:rFonts w:ascii="Calibri" w:eastAsiaTheme="majorEastAsia" w:hAnsi="Calibri" w:cs="Calibri"/>
          <w:sz w:val="24"/>
          <w:szCs w:val="24"/>
        </w:rPr>
        <w:t>liners</w:t>
      </w:r>
      <w:proofErr w:type="gramEnd"/>
      <w:r w:rsidR="0088644B" w:rsidRPr="001D5235">
        <w:rPr>
          <w:rFonts w:ascii="Calibri" w:eastAsiaTheme="majorEastAsia" w:hAnsi="Calibri" w:cs="Calibri"/>
          <w:sz w:val="24"/>
          <w:szCs w:val="24"/>
        </w:rPr>
        <w:t xml:space="preserve"> and dosing cups</w:t>
      </w:r>
      <w:r w:rsidR="00326775">
        <w:rPr>
          <w:rFonts w:ascii="Calibri" w:eastAsiaTheme="majorEastAsia" w:hAnsi="Calibri" w:cs="Calibri"/>
          <w:sz w:val="24"/>
          <w:szCs w:val="24"/>
        </w:rPr>
        <w:t>. This</w:t>
      </w:r>
      <w:r w:rsidR="0088644B" w:rsidRPr="001D5235">
        <w:rPr>
          <w:rFonts w:ascii="Calibri" w:eastAsiaTheme="majorEastAsia" w:hAnsi="Calibri" w:cs="Calibri"/>
          <w:sz w:val="24"/>
          <w:szCs w:val="24"/>
        </w:rPr>
        <w:t xml:space="preserve"> </w:t>
      </w:r>
      <w:r w:rsidR="00E21609" w:rsidRPr="001D5235">
        <w:rPr>
          <w:rFonts w:ascii="Calibri" w:eastAsiaTheme="majorEastAsia" w:hAnsi="Calibri" w:cs="Calibri"/>
          <w:sz w:val="24"/>
          <w:szCs w:val="24"/>
        </w:rPr>
        <w:t>enabl</w:t>
      </w:r>
      <w:r w:rsidR="00326775">
        <w:rPr>
          <w:rFonts w:ascii="Calibri" w:eastAsiaTheme="majorEastAsia" w:hAnsi="Calibri" w:cs="Calibri"/>
          <w:sz w:val="24"/>
          <w:szCs w:val="24"/>
        </w:rPr>
        <w:t xml:space="preserve">es </w:t>
      </w:r>
      <w:r w:rsidR="003F4204">
        <w:rPr>
          <w:rFonts w:ascii="Calibri" w:eastAsiaTheme="majorEastAsia" w:hAnsi="Calibri" w:cs="Calibri"/>
          <w:sz w:val="24"/>
          <w:szCs w:val="24"/>
        </w:rPr>
        <w:t xml:space="preserve">customers </w:t>
      </w:r>
      <w:r w:rsidR="00E21609" w:rsidRPr="001D5235">
        <w:rPr>
          <w:rFonts w:ascii="Calibri" w:eastAsiaTheme="majorEastAsia" w:hAnsi="Calibri" w:cs="Calibri"/>
          <w:sz w:val="24"/>
          <w:szCs w:val="24"/>
        </w:rPr>
        <w:t xml:space="preserve">to </w:t>
      </w:r>
      <w:r w:rsidR="00D22554" w:rsidRPr="001D5235">
        <w:rPr>
          <w:rFonts w:ascii="Calibri" w:eastAsiaTheme="majorEastAsia" w:hAnsi="Calibri" w:cs="Calibri"/>
          <w:sz w:val="24"/>
          <w:szCs w:val="24"/>
        </w:rPr>
        <w:t>select a combination that meets their specific application and capacity requirements.</w:t>
      </w:r>
    </w:p>
    <w:p w14:paraId="7E530683" w14:textId="77777777" w:rsidR="00565A4D" w:rsidRDefault="00565A4D" w:rsidP="001D5235">
      <w:pPr>
        <w:spacing w:after="0" w:line="240" w:lineRule="auto"/>
        <w:rPr>
          <w:rFonts w:ascii="Calibri" w:eastAsiaTheme="majorEastAsia" w:hAnsi="Calibri" w:cs="Calibri"/>
          <w:sz w:val="24"/>
          <w:szCs w:val="24"/>
        </w:rPr>
      </w:pPr>
    </w:p>
    <w:p w14:paraId="4155DE42" w14:textId="47FB9BF2" w:rsidR="00565A4D" w:rsidRDefault="00565A4D" w:rsidP="001D5235">
      <w:pPr>
        <w:spacing w:after="0" w:line="240" w:lineRule="auto"/>
        <w:rPr>
          <w:rFonts w:ascii="Calibri" w:eastAsiaTheme="majorEastAsia" w:hAnsi="Calibri" w:cs="Calibri"/>
          <w:sz w:val="24"/>
          <w:szCs w:val="24"/>
        </w:rPr>
      </w:pPr>
      <w:r w:rsidRPr="001D5235">
        <w:rPr>
          <w:rFonts w:ascii="Calibri" w:eastAsiaTheme="majorEastAsia" w:hAnsi="Calibri" w:cs="Calibri"/>
          <w:sz w:val="24"/>
          <w:szCs w:val="24"/>
        </w:rPr>
        <w:t xml:space="preserve">The PET bundle </w:t>
      </w:r>
      <w:r>
        <w:rPr>
          <w:rFonts w:ascii="Calibri" w:eastAsiaTheme="majorEastAsia" w:hAnsi="Calibri" w:cs="Calibri"/>
          <w:sz w:val="24"/>
          <w:szCs w:val="24"/>
        </w:rPr>
        <w:t>compris</w:t>
      </w:r>
      <w:r w:rsidRPr="001D5235">
        <w:rPr>
          <w:rFonts w:ascii="Calibri" w:eastAsiaTheme="majorEastAsia" w:hAnsi="Calibri" w:cs="Calibri"/>
          <w:sz w:val="24"/>
          <w:szCs w:val="24"/>
        </w:rPr>
        <w:t xml:space="preserve">es seven ranges of 28mm neck PET bottles in sizes from 20ml to 1,000ml in a variety of designs, with eight accompanying closures that incorporate tamper-evident and child-resistant features. </w:t>
      </w:r>
    </w:p>
    <w:p w14:paraId="6B6C8905" w14:textId="77777777" w:rsidR="001D5235" w:rsidRPr="001D5235" w:rsidRDefault="001D5235" w:rsidP="001D5235">
      <w:pPr>
        <w:spacing w:after="0" w:line="240" w:lineRule="auto"/>
        <w:rPr>
          <w:rFonts w:ascii="Calibri" w:eastAsiaTheme="majorEastAsia" w:hAnsi="Calibri" w:cs="Calibri"/>
          <w:sz w:val="24"/>
          <w:szCs w:val="24"/>
        </w:rPr>
      </w:pPr>
    </w:p>
    <w:p w14:paraId="38969DFF" w14:textId="207AB163" w:rsidR="00F60C5D" w:rsidRPr="003E758A" w:rsidRDefault="0061561F" w:rsidP="003E758A">
      <w:pPr>
        <w:spacing w:after="0" w:line="240" w:lineRule="auto"/>
        <w:rPr>
          <w:rFonts w:ascii="Calibri" w:hAnsi="Calibri" w:cs="Calibri"/>
          <w:sz w:val="24"/>
          <w:szCs w:val="24"/>
        </w:rPr>
      </w:pPr>
      <w:r w:rsidRPr="003E758A">
        <w:rPr>
          <w:rFonts w:ascii="Calibri" w:eastAsiaTheme="majorEastAsia" w:hAnsi="Calibri" w:cs="Calibri"/>
          <w:sz w:val="24"/>
          <w:szCs w:val="24"/>
        </w:rPr>
        <w:t>To arrange an appointment on the stand, please email</w:t>
      </w:r>
      <w:r w:rsidR="00F60C5D" w:rsidRPr="003E758A">
        <w:rPr>
          <w:rFonts w:ascii="Calibri" w:eastAsiaTheme="majorEastAsia" w:hAnsi="Calibri" w:cs="Calibri"/>
          <w:sz w:val="24"/>
          <w:szCs w:val="24"/>
        </w:rPr>
        <w:t xml:space="preserve"> </w:t>
      </w:r>
      <w:hyperlink r:id="rId8" w:history="1">
        <w:r w:rsidR="00C01E7F">
          <w:rPr>
            <w:rStyle w:val="Hyperlink"/>
          </w:rPr>
          <w:t>healthcare@berryglobal.com</w:t>
        </w:r>
      </w:hyperlink>
      <w:r w:rsidR="00F60C5D" w:rsidRPr="003E758A">
        <w:rPr>
          <w:rFonts w:ascii="Calibri" w:eastAsiaTheme="majorEastAsia" w:hAnsi="Calibri" w:cs="Calibri"/>
          <w:sz w:val="24"/>
          <w:szCs w:val="24"/>
        </w:rPr>
        <w:t xml:space="preserve">, or to learn more about Berry’s </w:t>
      </w:r>
      <w:r w:rsidR="00F60C5D" w:rsidRPr="003E758A">
        <w:rPr>
          <w:rFonts w:ascii="Calibri" w:hAnsi="Calibri" w:cs="Calibri"/>
          <w:sz w:val="24"/>
          <w:szCs w:val="24"/>
        </w:rPr>
        <w:t xml:space="preserve">wide range of </w:t>
      </w:r>
      <w:r w:rsidR="00F01B23" w:rsidRPr="003E758A">
        <w:rPr>
          <w:rFonts w:ascii="Calibri" w:hAnsi="Calibri" w:cs="Calibri"/>
          <w:sz w:val="24"/>
          <w:szCs w:val="24"/>
        </w:rPr>
        <w:t xml:space="preserve">healthcare </w:t>
      </w:r>
      <w:r w:rsidR="00F60C5D" w:rsidRPr="003E758A">
        <w:rPr>
          <w:rFonts w:ascii="Calibri" w:hAnsi="Calibri" w:cs="Calibri"/>
          <w:sz w:val="24"/>
          <w:szCs w:val="24"/>
        </w:rPr>
        <w:t>products and solutions</w:t>
      </w:r>
      <w:r w:rsidR="00F01B23" w:rsidRPr="003E758A">
        <w:rPr>
          <w:rFonts w:ascii="Calibri" w:hAnsi="Calibri" w:cs="Calibri"/>
          <w:sz w:val="24"/>
          <w:szCs w:val="24"/>
        </w:rPr>
        <w:t xml:space="preserve">, visit </w:t>
      </w:r>
      <w:hyperlink r:id="rId9" w:history="1">
        <w:r w:rsidR="007269E9" w:rsidRPr="003E758A">
          <w:rPr>
            <w:rStyle w:val="Hyperlink"/>
            <w:rFonts w:ascii="Calibri" w:hAnsi="Calibri" w:cs="Calibri"/>
            <w:sz w:val="24"/>
            <w:szCs w:val="24"/>
          </w:rPr>
          <w:t>www.berryglobal.com/en/markets/healthcare</w:t>
        </w:r>
      </w:hyperlink>
      <w:r w:rsidR="00F60C5D" w:rsidRPr="003E758A">
        <w:rPr>
          <w:rFonts w:ascii="Calibri" w:hAnsi="Calibri" w:cs="Calibri"/>
          <w:sz w:val="24"/>
          <w:szCs w:val="24"/>
        </w:rPr>
        <w:t>.</w:t>
      </w:r>
    </w:p>
    <w:p w14:paraId="05381A01" w14:textId="77777777" w:rsidR="00F60C5D" w:rsidRPr="003E758A" w:rsidRDefault="00F60C5D" w:rsidP="003E758A">
      <w:pPr>
        <w:spacing w:after="0" w:line="240" w:lineRule="auto"/>
        <w:rPr>
          <w:rFonts w:ascii="Calibri" w:hAnsi="Calibri" w:cs="Calibri"/>
          <w:sz w:val="24"/>
          <w:szCs w:val="24"/>
        </w:rPr>
      </w:pPr>
    </w:p>
    <w:p w14:paraId="27736C0E" w14:textId="3EDE59EC" w:rsidR="00255BE1" w:rsidRDefault="00E902C6" w:rsidP="003E758A">
      <w:pPr>
        <w:spacing w:after="0" w:line="240" w:lineRule="auto"/>
        <w:rPr>
          <w:rFonts w:ascii="Calibri" w:eastAsiaTheme="majorEastAsia" w:hAnsi="Calibri" w:cs="Calibri"/>
          <w:sz w:val="24"/>
          <w:szCs w:val="24"/>
        </w:rPr>
      </w:pPr>
      <w:r>
        <w:rPr>
          <w:rFonts w:ascii="Calibri" w:eastAsiaTheme="majorEastAsia" w:hAnsi="Calibri" w:cs="Calibri"/>
          <w:sz w:val="24"/>
          <w:szCs w:val="24"/>
        </w:rPr>
        <w:t>Ends</w:t>
      </w:r>
    </w:p>
    <w:p w14:paraId="0DB824FC" w14:textId="77777777" w:rsidR="00E902C6" w:rsidRDefault="00E902C6" w:rsidP="003E758A">
      <w:pPr>
        <w:spacing w:after="0" w:line="240" w:lineRule="auto"/>
        <w:rPr>
          <w:rFonts w:ascii="Calibri" w:eastAsiaTheme="majorEastAsia" w:hAnsi="Calibri" w:cs="Calibri"/>
          <w:sz w:val="24"/>
          <w:szCs w:val="24"/>
        </w:rPr>
      </w:pPr>
    </w:p>
    <w:p w14:paraId="316C8263" w14:textId="242E1DD4" w:rsidR="00385068" w:rsidRDefault="00B7049B" w:rsidP="003E758A">
      <w:pPr>
        <w:spacing w:after="0" w:line="240" w:lineRule="auto"/>
        <w:rPr>
          <w:rFonts w:ascii="Calibri" w:eastAsiaTheme="majorEastAsia" w:hAnsi="Calibri" w:cs="Calibri"/>
          <w:sz w:val="24"/>
          <w:szCs w:val="24"/>
        </w:rPr>
      </w:pPr>
      <w:hyperlink r:id="rId10" w:history="1">
        <w:r w:rsidR="00D25723" w:rsidRPr="00630D4A">
          <w:rPr>
            <w:rStyle w:val="Hyperlink"/>
            <w:rFonts w:ascii="Calibri" w:eastAsiaTheme="majorEastAsia" w:hAnsi="Calibri" w:cs="Calibri"/>
            <w:sz w:val="24"/>
            <w:szCs w:val="24"/>
          </w:rPr>
          <w:t>www.pcidays.pl</w:t>
        </w:r>
      </w:hyperlink>
      <w:r w:rsidR="00D25723">
        <w:rPr>
          <w:rFonts w:ascii="Calibri" w:eastAsiaTheme="majorEastAsia" w:hAnsi="Calibri" w:cs="Calibri"/>
          <w:sz w:val="24"/>
          <w:szCs w:val="24"/>
        </w:rPr>
        <w:t xml:space="preserve"> </w:t>
      </w:r>
    </w:p>
    <w:p w14:paraId="4CD0AA39" w14:textId="77777777" w:rsidR="00EB33DB" w:rsidRDefault="00EB33DB" w:rsidP="003E758A">
      <w:pPr>
        <w:spacing w:after="0" w:line="240" w:lineRule="auto"/>
        <w:rPr>
          <w:rFonts w:ascii="Calibri" w:eastAsiaTheme="majorEastAsia" w:hAnsi="Calibri" w:cs="Calibri"/>
          <w:sz w:val="24"/>
          <w:szCs w:val="24"/>
        </w:rPr>
      </w:pPr>
    </w:p>
    <w:p w14:paraId="7BE6027D" w14:textId="77777777" w:rsidR="00B7049B" w:rsidRPr="00553D21" w:rsidRDefault="00B7049B" w:rsidP="00B7049B">
      <w:pPr>
        <w:rPr>
          <w:rFonts w:cstheme="minorHAnsi"/>
          <w:lang w:val="en-US"/>
        </w:rPr>
      </w:pPr>
      <w:r w:rsidRPr="00553D21">
        <w:rPr>
          <w:rFonts w:cstheme="minorHAnsi"/>
          <w:b/>
          <w:bCs/>
          <w:lang w:val="en-US"/>
        </w:rPr>
        <w:t>About Berry</w:t>
      </w:r>
      <w:r w:rsidRPr="00553D21">
        <w:rPr>
          <w:rFonts w:cstheme="minorHAnsi"/>
          <w:lang w:val="en-US"/>
        </w:rPr>
        <w:t> </w:t>
      </w:r>
    </w:p>
    <w:p w14:paraId="41FA6A39" w14:textId="77777777" w:rsidR="00B7049B" w:rsidRPr="00553D21" w:rsidRDefault="00B7049B" w:rsidP="00B7049B">
      <w:pPr>
        <w:rPr>
          <w:rFonts w:cstheme="minorHAnsi"/>
          <w:lang w:val="en-US"/>
        </w:rPr>
      </w:pPr>
      <w:r w:rsidRPr="00553D21">
        <w:rPr>
          <w:rFonts w:cstheme="minorHAnsi"/>
          <w:lang w:val="en-US"/>
        </w:rPr>
        <w:t xml:space="preserve">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w:t>
      </w:r>
      <w:r w:rsidRPr="00553D21">
        <w:rPr>
          <w:rFonts w:cstheme="minorHAnsi"/>
          <w:lang w:val="en-US"/>
        </w:rPr>
        <w:lastRenderedPageBreak/>
        <w:t xml:space="preserve">circular economy. The challenges we solve and the innovations we pioneer benefit our customers at every stage of their journey. For more information, visit our </w:t>
      </w:r>
      <w:hyperlink r:id="rId11" w:tgtFrame="_blank" w:history="1">
        <w:r w:rsidRPr="00553D21">
          <w:rPr>
            <w:rStyle w:val="Hyperlink"/>
            <w:rFonts w:cstheme="minorHAnsi"/>
            <w:lang w:val="en-US"/>
          </w:rPr>
          <w:t>website</w:t>
        </w:r>
      </w:hyperlink>
      <w:r w:rsidRPr="00553D21">
        <w:rPr>
          <w:rFonts w:cstheme="minorHAnsi"/>
          <w:lang w:val="en-US"/>
        </w:rPr>
        <w:t>, or connect with us on </w:t>
      </w:r>
      <w:hyperlink r:id="rId12" w:tgtFrame="_blank" w:history="1">
        <w:r w:rsidRPr="00553D21">
          <w:rPr>
            <w:rStyle w:val="Hyperlink"/>
            <w:rFonts w:cstheme="minorHAnsi"/>
            <w:lang w:val="en-US"/>
          </w:rPr>
          <w:t>LinkedIn</w:t>
        </w:r>
      </w:hyperlink>
      <w:r w:rsidRPr="00553D21">
        <w:rPr>
          <w:rFonts w:cstheme="minorHAnsi"/>
          <w:lang w:val="en-US"/>
        </w:rPr>
        <w:t> or </w:t>
      </w:r>
      <w:hyperlink r:id="rId13" w:tgtFrame="_blank" w:history="1">
        <w:r w:rsidRPr="00553D21">
          <w:rPr>
            <w:rStyle w:val="Hyperlink"/>
            <w:rFonts w:cstheme="minorHAnsi"/>
            <w:lang w:val="en-US"/>
          </w:rPr>
          <w:t>X</w:t>
        </w:r>
      </w:hyperlink>
      <w:r w:rsidRPr="00553D21">
        <w:rPr>
          <w:rFonts w:cstheme="minorHAnsi"/>
          <w:lang w:val="en-US"/>
        </w:rPr>
        <w:t xml:space="preserve">.  </w:t>
      </w:r>
    </w:p>
    <w:p w14:paraId="3EC9ED71" w14:textId="77777777" w:rsidR="00B7049B" w:rsidRDefault="00B7049B" w:rsidP="00B7049B">
      <w:pPr>
        <w:rPr>
          <w:rStyle w:val="normaltextrun"/>
          <w:rFonts w:cstheme="minorHAnsi"/>
        </w:rPr>
      </w:pPr>
    </w:p>
    <w:p w14:paraId="63A6CEA2" w14:textId="77777777" w:rsidR="00B7049B" w:rsidRPr="00D936DE" w:rsidRDefault="00B7049B" w:rsidP="00B7049B">
      <w:pPr>
        <w:ind w:right="-360"/>
        <w:rPr>
          <w:rFonts w:cstheme="minorHAnsi"/>
          <w:b/>
        </w:rPr>
      </w:pPr>
      <w:r w:rsidRPr="00D936DE">
        <w:rPr>
          <w:rFonts w:cstheme="minorHAnsi"/>
          <w:b/>
        </w:rPr>
        <w:t>Media Contact:</w:t>
      </w:r>
    </w:p>
    <w:p w14:paraId="1151FABD" w14:textId="77777777" w:rsidR="00B7049B" w:rsidRPr="00D936DE" w:rsidRDefault="00B7049B" w:rsidP="00B7049B">
      <w:pPr>
        <w:ind w:right="-360"/>
        <w:rPr>
          <w:rFonts w:cstheme="minorHAnsi"/>
        </w:rPr>
      </w:pPr>
      <w:r w:rsidRPr="00D936DE">
        <w:rPr>
          <w:rFonts w:cstheme="minorHAnsi"/>
        </w:rPr>
        <w:t>Nielsen McAllister Public Relations Limited</w:t>
      </w:r>
    </w:p>
    <w:p w14:paraId="110CEEFE" w14:textId="77777777" w:rsidR="00B7049B" w:rsidRPr="00D936DE" w:rsidRDefault="00B7049B" w:rsidP="00B7049B">
      <w:pPr>
        <w:rPr>
          <w:rFonts w:ascii="Times New Roman" w:hAnsi="Times New Roman" w:cs="Times New Roman"/>
          <w:lang w:eastAsia="en-GB"/>
        </w:rPr>
      </w:pPr>
      <w:r w:rsidRPr="00D936DE">
        <w:rPr>
          <w:rFonts w:cstheme="minorHAnsi"/>
        </w:rPr>
        <w:t>+44 (0) 1322 293939</w:t>
      </w:r>
    </w:p>
    <w:p w14:paraId="383940F1" w14:textId="77777777" w:rsidR="00B7049B" w:rsidRDefault="00B7049B" w:rsidP="00B7049B">
      <w:pPr>
        <w:rPr>
          <w:rFonts w:cstheme="minorHAnsi"/>
        </w:rPr>
      </w:pPr>
      <w:hyperlink r:id="rId14" w:history="1">
        <w:r w:rsidRPr="00D936DE">
          <w:rPr>
            <w:rStyle w:val="Hyperlink"/>
            <w:rFonts w:cstheme="minorHAnsi"/>
          </w:rPr>
          <w:t>info@nmpr.co.uk</w:t>
        </w:r>
      </w:hyperlink>
      <w:r w:rsidRPr="00D936DE">
        <w:rPr>
          <w:rFonts w:cstheme="minorHAnsi"/>
        </w:rPr>
        <w:t xml:space="preserve"> </w:t>
      </w:r>
      <w:r w:rsidRPr="00D936DE">
        <w:rPr>
          <w:rFonts w:cstheme="minorHAnsi"/>
        </w:rPr>
        <w:tab/>
      </w:r>
    </w:p>
    <w:p w14:paraId="077D4003" w14:textId="77777777" w:rsidR="00B7049B" w:rsidRPr="00553D21" w:rsidRDefault="00B7049B" w:rsidP="00B7049B">
      <w:pPr>
        <w:rPr>
          <w:rFonts w:cstheme="minorHAnsi"/>
        </w:rPr>
      </w:pPr>
    </w:p>
    <w:p w14:paraId="6B0D5A20" w14:textId="77777777" w:rsidR="00B7049B" w:rsidRPr="008F4C83" w:rsidRDefault="00B7049B" w:rsidP="00B7049B">
      <w:pPr>
        <w:jc w:val="both"/>
        <w:rPr>
          <w:rFonts w:ascii="Calibri" w:hAnsi="Calibri" w:cs="Calibri"/>
        </w:rPr>
      </w:pPr>
      <w:r w:rsidRPr="003B168C">
        <w:rPr>
          <w:rFonts w:ascii="Calibri" w:hAnsi="Calibri" w:cs="Calibri"/>
          <w:b/>
          <w:noProof/>
          <w:lang w:eastAsia="en-GB"/>
        </w:rPr>
        <w:drawing>
          <wp:inline distT="0" distB="0" distL="0" distR="0" wp14:anchorId="7A476FD0" wp14:editId="219977E0">
            <wp:extent cx="396240" cy="396240"/>
            <wp:effectExtent l="0" t="0" r="3810" b="3810"/>
            <wp:docPr id="20" name="Picture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6422" cy="396422"/>
                    </a:xfrm>
                    <a:prstGeom prst="ellipse">
                      <a:avLst/>
                    </a:prstGeom>
                    <a:solidFill>
                      <a:srgbClr val="F26C52"/>
                    </a:solidFill>
                  </pic:spPr>
                </pic:pic>
              </a:graphicData>
            </a:graphic>
          </wp:inline>
        </w:drawing>
      </w:r>
      <w:r w:rsidRPr="003B168C">
        <w:rPr>
          <w:rFonts w:ascii="Calibri" w:hAnsi="Calibri" w:cs="Calibri"/>
          <w:b/>
        </w:rPr>
        <w:t xml:space="preserve">    </w:t>
      </w:r>
      <w:r w:rsidRPr="003B168C">
        <w:rPr>
          <w:rFonts w:ascii="Calibri" w:hAnsi="Calibri" w:cs="Calibri"/>
          <w:b/>
          <w:noProof/>
          <w:lang w:eastAsia="en-GB"/>
        </w:rPr>
        <w:drawing>
          <wp:inline distT="0" distB="0" distL="0" distR="0" wp14:anchorId="179882DA" wp14:editId="50E09AB2">
            <wp:extent cx="403860" cy="403860"/>
            <wp:effectExtent l="0" t="0" r="0" b="0"/>
            <wp:docPr id="18" name="Pictur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4046" cy="404046"/>
                    </a:xfrm>
                    <a:prstGeom prst="ellipse">
                      <a:avLst/>
                    </a:prstGeom>
                    <a:solidFill>
                      <a:srgbClr val="5AA3D2"/>
                    </a:solidFill>
                  </pic:spPr>
                </pic:pic>
              </a:graphicData>
            </a:graphic>
          </wp:inline>
        </w:drawing>
      </w:r>
      <w:r w:rsidRPr="003B168C">
        <w:rPr>
          <w:rFonts w:ascii="Calibri" w:hAnsi="Calibri" w:cs="Calibri"/>
        </w:rPr>
        <w:t xml:space="preserve">    </w:t>
      </w:r>
      <w:r w:rsidRPr="003B168C">
        <w:rPr>
          <w:rFonts w:ascii="Calibri" w:hAnsi="Calibri" w:cs="Calibri"/>
          <w:noProof/>
          <w:lang w:eastAsia="en-GB"/>
        </w:rPr>
        <w:drawing>
          <wp:inline distT="0" distB="0" distL="0" distR="0" wp14:anchorId="539B6CAA" wp14:editId="0CA492F9">
            <wp:extent cx="396240" cy="396240"/>
            <wp:effectExtent l="0" t="0" r="3810" b="3810"/>
            <wp:docPr id="21" name="Picture 2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6423" cy="396423"/>
                    </a:xfrm>
                    <a:prstGeom prst="ellipse">
                      <a:avLst/>
                    </a:prstGeom>
                    <a:solidFill>
                      <a:srgbClr val="005794"/>
                    </a:solidFill>
                  </pic:spPr>
                </pic:pic>
              </a:graphicData>
            </a:graphic>
          </wp:inline>
        </w:drawing>
      </w:r>
    </w:p>
    <w:p w14:paraId="552FF6D6" w14:textId="77777777" w:rsidR="00EB33DB" w:rsidRPr="003E758A" w:rsidRDefault="00EB33DB" w:rsidP="003E758A">
      <w:pPr>
        <w:spacing w:after="0" w:line="240" w:lineRule="auto"/>
        <w:rPr>
          <w:rFonts w:ascii="Calibri" w:eastAsiaTheme="majorEastAsia" w:hAnsi="Calibri" w:cs="Calibri"/>
          <w:sz w:val="24"/>
          <w:szCs w:val="24"/>
        </w:rPr>
      </w:pPr>
    </w:p>
    <w:sectPr w:rsidR="00EB33DB" w:rsidRPr="003E7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00"/>
    <w:rsid w:val="00014BDC"/>
    <w:rsid w:val="00016FA6"/>
    <w:rsid w:val="00017665"/>
    <w:rsid w:val="00043372"/>
    <w:rsid w:val="00062A3F"/>
    <w:rsid w:val="000856C7"/>
    <w:rsid w:val="000A632C"/>
    <w:rsid w:val="000C65BA"/>
    <w:rsid w:val="00133A91"/>
    <w:rsid w:val="00142B1F"/>
    <w:rsid w:val="001D5235"/>
    <w:rsid w:val="00255BE1"/>
    <w:rsid w:val="00257EA2"/>
    <w:rsid w:val="00292384"/>
    <w:rsid w:val="00326775"/>
    <w:rsid w:val="00365A1B"/>
    <w:rsid w:val="003678AE"/>
    <w:rsid w:val="00385068"/>
    <w:rsid w:val="00390735"/>
    <w:rsid w:val="003A13E0"/>
    <w:rsid w:val="003D581E"/>
    <w:rsid w:val="003E758A"/>
    <w:rsid w:val="003F4204"/>
    <w:rsid w:val="0044295E"/>
    <w:rsid w:val="00474CC0"/>
    <w:rsid w:val="004B6AA8"/>
    <w:rsid w:val="004E721F"/>
    <w:rsid w:val="00565A4D"/>
    <w:rsid w:val="005D7D05"/>
    <w:rsid w:val="00600079"/>
    <w:rsid w:val="0061561F"/>
    <w:rsid w:val="0064653F"/>
    <w:rsid w:val="00663CB6"/>
    <w:rsid w:val="006727C0"/>
    <w:rsid w:val="006A2100"/>
    <w:rsid w:val="006D4495"/>
    <w:rsid w:val="007269E9"/>
    <w:rsid w:val="007301B7"/>
    <w:rsid w:val="0076173A"/>
    <w:rsid w:val="00780AC1"/>
    <w:rsid w:val="00785627"/>
    <w:rsid w:val="007C4A38"/>
    <w:rsid w:val="007F0CC5"/>
    <w:rsid w:val="0083735F"/>
    <w:rsid w:val="00882DD0"/>
    <w:rsid w:val="0088644B"/>
    <w:rsid w:val="008B1E82"/>
    <w:rsid w:val="008C10B8"/>
    <w:rsid w:val="008C3F9D"/>
    <w:rsid w:val="008F5138"/>
    <w:rsid w:val="00935DF0"/>
    <w:rsid w:val="00A153ED"/>
    <w:rsid w:val="00A44446"/>
    <w:rsid w:val="00AB4183"/>
    <w:rsid w:val="00AB63EF"/>
    <w:rsid w:val="00AF2F5F"/>
    <w:rsid w:val="00B65E72"/>
    <w:rsid w:val="00B7049B"/>
    <w:rsid w:val="00B9258B"/>
    <w:rsid w:val="00C01E7F"/>
    <w:rsid w:val="00C55E25"/>
    <w:rsid w:val="00CB121E"/>
    <w:rsid w:val="00CB1B99"/>
    <w:rsid w:val="00CE706C"/>
    <w:rsid w:val="00D22554"/>
    <w:rsid w:val="00D25723"/>
    <w:rsid w:val="00E21609"/>
    <w:rsid w:val="00E313C5"/>
    <w:rsid w:val="00E902C6"/>
    <w:rsid w:val="00EB33DB"/>
    <w:rsid w:val="00EF09F8"/>
    <w:rsid w:val="00EF63A0"/>
    <w:rsid w:val="00F01B23"/>
    <w:rsid w:val="00F12F2B"/>
    <w:rsid w:val="00F60C5D"/>
    <w:rsid w:val="00FA3B86"/>
    <w:rsid w:val="00FA6930"/>
    <w:rsid w:val="00FF026D"/>
    <w:rsid w:val="04F48966"/>
    <w:rsid w:val="0D7ED9C5"/>
    <w:rsid w:val="20027896"/>
    <w:rsid w:val="24D00E05"/>
    <w:rsid w:val="35033DA2"/>
    <w:rsid w:val="3C224749"/>
    <w:rsid w:val="41B4F8C4"/>
    <w:rsid w:val="4629968A"/>
    <w:rsid w:val="5382472D"/>
    <w:rsid w:val="6757A03A"/>
    <w:rsid w:val="77D98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40255"/>
  <w15:chartTrackingRefBased/>
  <w15:docId w15:val="{6CA012C5-7218-4CCB-8D95-BA64FD47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2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2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21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21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21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2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1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1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1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1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1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100"/>
    <w:rPr>
      <w:rFonts w:eastAsiaTheme="majorEastAsia" w:cstheme="majorBidi"/>
      <w:color w:val="272727" w:themeColor="text1" w:themeTint="D8"/>
    </w:rPr>
  </w:style>
  <w:style w:type="paragraph" w:styleId="Title">
    <w:name w:val="Title"/>
    <w:basedOn w:val="Normal"/>
    <w:next w:val="Normal"/>
    <w:link w:val="TitleChar"/>
    <w:uiPriority w:val="10"/>
    <w:qFormat/>
    <w:rsid w:val="006A2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100"/>
    <w:pPr>
      <w:spacing w:before="160"/>
      <w:jc w:val="center"/>
    </w:pPr>
    <w:rPr>
      <w:i/>
      <w:iCs/>
      <w:color w:val="404040" w:themeColor="text1" w:themeTint="BF"/>
    </w:rPr>
  </w:style>
  <w:style w:type="character" w:customStyle="1" w:styleId="QuoteChar">
    <w:name w:val="Quote Char"/>
    <w:basedOn w:val="DefaultParagraphFont"/>
    <w:link w:val="Quote"/>
    <w:uiPriority w:val="29"/>
    <w:rsid w:val="006A2100"/>
    <w:rPr>
      <w:i/>
      <w:iCs/>
      <w:color w:val="404040" w:themeColor="text1" w:themeTint="BF"/>
    </w:rPr>
  </w:style>
  <w:style w:type="paragraph" w:styleId="ListParagraph">
    <w:name w:val="List Paragraph"/>
    <w:basedOn w:val="Normal"/>
    <w:uiPriority w:val="34"/>
    <w:qFormat/>
    <w:rsid w:val="006A2100"/>
    <w:pPr>
      <w:ind w:left="720"/>
      <w:contextualSpacing/>
    </w:pPr>
  </w:style>
  <w:style w:type="character" w:styleId="IntenseEmphasis">
    <w:name w:val="Intense Emphasis"/>
    <w:basedOn w:val="DefaultParagraphFont"/>
    <w:uiPriority w:val="21"/>
    <w:qFormat/>
    <w:rsid w:val="006A2100"/>
    <w:rPr>
      <w:i/>
      <w:iCs/>
      <w:color w:val="0F4761" w:themeColor="accent1" w:themeShade="BF"/>
    </w:rPr>
  </w:style>
  <w:style w:type="paragraph" w:styleId="IntenseQuote">
    <w:name w:val="Intense Quote"/>
    <w:basedOn w:val="Normal"/>
    <w:next w:val="Normal"/>
    <w:link w:val="IntenseQuoteChar"/>
    <w:uiPriority w:val="30"/>
    <w:qFormat/>
    <w:rsid w:val="006A2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2100"/>
    <w:rPr>
      <w:i/>
      <w:iCs/>
      <w:color w:val="0F4761" w:themeColor="accent1" w:themeShade="BF"/>
    </w:rPr>
  </w:style>
  <w:style w:type="character" w:styleId="IntenseReference">
    <w:name w:val="Intense Reference"/>
    <w:basedOn w:val="DefaultParagraphFont"/>
    <w:uiPriority w:val="32"/>
    <w:qFormat/>
    <w:rsid w:val="006A2100"/>
    <w:rPr>
      <w:b/>
      <w:bCs/>
      <w:smallCaps/>
      <w:color w:val="0F4761" w:themeColor="accent1" w:themeShade="BF"/>
      <w:spacing w:val="5"/>
    </w:rPr>
  </w:style>
  <w:style w:type="paragraph" w:customStyle="1" w:styleId="paragraph">
    <w:name w:val="paragraph"/>
    <w:basedOn w:val="Normal"/>
    <w:rsid w:val="006A210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A2100"/>
  </w:style>
  <w:style w:type="character" w:customStyle="1" w:styleId="eop">
    <w:name w:val="eop"/>
    <w:basedOn w:val="DefaultParagraphFont"/>
    <w:rsid w:val="006A2100"/>
  </w:style>
  <w:style w:type="character" w:styleId="Hyperlink">
    <w:name w:val="Hyperlink"/>
    <w:basedOn w:val="DefaultParagraphFont"/>
    <w:uiPriority w:val="99"/>
    <w:unhideWhenUsed/>
    <w:rsid w:val="00F60C5D"/>
    <w:rPr>
      <w:color w:val="467886" w:themeColor="hyperlink"/>
      <w:u w:val="single"/>
    </w:rPr>
  </w:style>
  <w:style w:type="character" w:styleId="FollowedHyperlink">
    <w:name w:val="FollowedHyperlink"/>
    <w:basedOn w:val="DefaultParagraphFont"/>
    <w:uiPriority w:val="99"/>
    <w:semiHidden/>
    <w:unhideWhenUsed/>
    <w:rsid w:val="00F01B23"/>
    <w:rPr>
      <w:color w:val="96607D" w:themeColor="followedHyperlink"/>
      <w:u w:val="single"/>
    </w:rPr>
  </w:style>
  <w:style w:type="character" w:styleId="UnresolvedMention">
    <w:name w:val="Unresolved Mention"/>
    <w:basedOn w:val="DefaultParagraphFont"/>
    <w:uiPriority w:val="99"/>
    <w:semiHidden/>
    <w:unhideWhenUsed/>
    <w:rsid w:val="00F01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4475574">
      <w:bodyDiv w:val="1"/>
      <w:marLeft w:val="0"/>
      <w:marRight w:val="0"/>
      <w:marTop w:val="0"/>
      <w:marBottom w:val="0"/>
      <w:divBdr>
        <w:top w:val="none" w:sz="0" w:space="0" w:color="auto"/>
        <w:left w:val="none" w:sz="0" w:space="0" w:color="auto"/>
        <w:bottom w:val="none" w:sz="0" w:space="0" w:color="auto"/>
        <w:right w:val="none" w:sz="0" w:space="0" w:color="auto"/>
      </w:divBdr>
      <w:divsChild>
        <w:div w:id="965890975">
          <w:marLeft w:val="0"/>
          <w:marRight w:val="0"/>
          <w:marTop w:val="0"/>
          <w:marBottom w:val="0"/>
          <w:divBdr>
            <w:top w:val="none" w:sz="0" w:space="0" w:color="auto"/>
            <w:left w:val="none" w:sz="0" w:space="0" w:color="auto"/>
            <w:bottom w:val="none" w:sz="0" w:space="0" w:color="auto"/>
            <w:right w:val="none" w:sz="0" w:space="0" w:color="auto"/>
          </w:divBdr>
        </w:div>
        <w:div w:id="347950593">
          <w:marLeft w:val="0"/>
          <w:marRight w:val="0"/>
          <w:marTop w:val="0"/>
          <w:marBottom w:val="0"/>
          <w:divBdr>
            <w:top w:val="none" w:sz="0" w:space="0" w:color="auto"/>
            <w:left w:val="none" w:sz="0" w:space="0" w:color="auto"/>
            <w:bottom w:val="none" w:sz="0" w:space="0" w:color="auto"/>
            <w:right w:val="none" w:sz="0" w:space="0" w:color="auto"/>
          </w:divBdr>
        </w:div>
        <w:div w:id="385495392">
          <w:marLeft w:val="0"/>
          <w:marRight w:val="0"/>
          <w:marTop w:val="0"/>
          <w:marBottom w:val="0"/>
          <w:divBdr>
            <w:top w:val="none" w:sz="0" w:space="0" w:color="auto"/>
            <w:left w:val="none" w:sz="0" w:space="0" w:color="auto"/>
            <w:bottom w:val="none" w:sz="0" w:space="0" w:color="auto"/>
            <w:right w:val="none" w:sz="0" w:space="0" w:color="auto"/>
          </w:divBdr>
        </w:div>
      </w:divsChild>
    </w:div>
    <w:div w:id="1746370317">
      <w:bodyDiv w:val="1"/>
      <w:marLeft w:val="0"/>
      <w:marRight w:val="0"/>
      <w:marTop w:val="0"/>
      <w:marBottom w:val="0"/>
      <w:divBdr>
        <w:top w:val="none" w:sz="0" w:space="0" w:color="auto"/>
        <w:left w:val="none" w:sz="0" w:space="0" w:color="auto"/>
        <w:bottom w:val="none" w:sz="0" w:space="0" w:color="auto"/>
        <w:right w:val="none" w:sz="0" w:space="0" w:color="auto"/>
      </w:divBdr>
      <w:divsChild>
        <w:div w:id="2053114017">
          <w:marLeft w:val="0"/>
          <w:marRight w:val="0"/>
          <w:marTop w:val="0"/>
          <w:marBottom w:val="0"/>
          <w:divBdr>
            <w:top w:val="none" w:sz="0" w:space="0" w:color="auto"/>
            <w:left w:val="none" w:sz="0" w:space="0" w:color="auto"/>
            <w:bottom w:val="none" w:sz="0" w:space="0" w:color="auto"/>
            <w:right w:val="none" w:sz="0" w:space="0" w:color="auto"/>
          </w:divBdr>
        </w:div>
        <w:div w:id="39034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care@berryglobal.com" TargetMode="External"/><Relationship Id="rId13" Type="http://schemas.openxmlformats.org/officeDocument/2006/relationships/hyperlink" Target="https://twitter.com/BerryGlobalInc"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linkedin.com/company/berryglobal" TargetMode="External"/><Relationship Id="rId17" Type="http://schemas.openxmlformats.org/officeDocument/2006/relationships/hyperlink" Target="https://www.linkedin.com/company/berryglobal/"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ryglobal.com/en/" TargetMode="External"/><Relationship Id="rId5" Type="http://schemas.openxmlformats.org/officeDocument/2006/relationships/settings" Target="settings.xml"/><Relationship Id="rId15" Type="http://schemas.openxmlformats.org/officeDocument/2006/relationships/hyperlink" Target="https://twitter.com/berryglobalinc?lang=en" TargetMode="External"/><Relationship Id="rId10" Type="http://schemas.openxmlformats.org/officeDocument/2006/relationships/hyperlink" Target="http://www.pcidays.pl" TargetMode="External"/><Relationship Id="rId19" Type="http://schemas.openxmlformats.org/officeDocument/2006/relationships/hyperlink" Target="https://www.youtube.com/channel/UCYgqs8gpyvM1-E3gP0Z-GsA" TargetMode="External"/><Relationship Id="rId4" Type="http://schemas.openxmlformats.org/officeDocument/2006/relationships/styles" Target="styles.xml"/><Relationship Id="rId9" Type="http://schemas.openxmlformats.org/officeDocument/2006/relationships/hyperlink" Target="http://www.berryglobal.com/en/markets/healthcare" TargetMode="External"/><Relationship Id="rId14" Type="http://schemas.openxmlformats.org/officeDocument/2006/relationships/hyperlink" Target="mailto:info@nmpr.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E0DF6-445F-434B-818B-5242782A0D7D}">
  <ds:schemaRefs>
    <ds:schemaRef ds:uri="http://schemas.microsoft.com/sharepoint/v3/contenttype/forms"/>
  </ds:schemaRefs>
</ds:datastoreItem>
</file>

<file path=customXml/itemProps2.xml><?xml version="1.0" encoding="utf-8"?>
<ds:datastoreItem xmlns:ds="http://schemas.openxmlformats.org/officeDocument/2006/customXml" ds:itemID="{D08A120D-D599-48E1-828D-D97BCAB3BA17}">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3.xml><?xml version="1.0" encoding="utf-8"?>
<ds:datastoreItem xmlns:ds="http://schemas.openxmlformats.org/officeDocument/2006/customXml" ds:itemID="{98664876-597E-444F-9676-C2506D6B6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2440</Characters>
  <Application>Microsoft Office Word</Application>
  <DocSecurity>0</DocSecurity>
  <Lines>64</Lines>
  <Paragraphs>24</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DeSola</dc:creator>
  <cp:keywords/>
  <dc:description/>
  <cp:lastModifiedBy>Hannah Woods</cp:lastModifiedBy>
  <cp:revision>6</cp:revision>
  <cp:lastPrinted>2024-03-19T11:11:00Z</cp:lastPrinted>
  <dcterms:created xsi:type="dcterms:W3CDTF">2024-04-30T08:20:00Z</dcterms:created>
  <dcterms:modified xsi:type="dcterms:W3CDTF">2024-05-08T08:44:00Z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y fmtid="{D5CDD505-2E9C-101B-9397-08002B2CF9AE}" pid="4" name="GrammarlyDocumentId">
    <vt:lpwstr>e47fc80f1fbd20dc445fdb850c5453f8c6cd15f2247722ec865c2b0cb2bd727a</vt:lpwstr>
  </property>
</Properties>
</file>