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749C86" w14:textId="02AD3222" w:rsidR="00C241B8" w:rsidRDefault="00557470">
      <w:pPr>
        <w:tabs>
          <w:tab w:val="left" w:pos="8329"/>
        </w:tabs>
        <w:ind w:left="101"/>
        <w:rPr>
          <w:sz w:val="20"/>
        </w:rPr>
      </w:pPr>
      <w:r>
        <w:rPr>
          <w:noProof/>
          <w:position w:val="15"/>
          <w:sz w:val="20"/>
        </w:rPr>
        <mc:AlternateContent>
          <mc:Choice Requires="wps">
            <w:drawing>
              <wp:inline distT="0" distB="0" distL="0" distR="0" wp14:anchorId="6443726C" wp14:editId="5B9A2CF4">
                <wp:extent cx="4961255" cy="942975"/>
                <wp:effectExtent l="0" t="0" r="10795" b="9525"/>
                <wp:docPr id="8"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255"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526"/>
                              <w:gridCol w:w="2778"/>
                              <w:gridCol w:w="2507"/>
                            </w:tblGrid>
                            <w:tr w:rsidR="008D4B4B" w14:paraId="225D233E" w14:textId="77777777">
                              <w:trPr>
                                <w:trHeight w:val="595"/>
                              </w:trPr>
                              <w:tc>
                                <w:tcPr>
                                  <w:tcW w:w="2526" w:type="dxa"/>
                                </w:tcPr>
                                <w:p w14:paraId="206603A7" w14:textId="77777777" w:rsidR="008D4B4B" w:rsidRDefault="008D4B4B" w:rsidP="008D4B4B">
                                  <w:pPr>
                                    <w:pStyle w:val="TableParagraph"/>
                                    <w:spacing w:before="0" w:line="199" w:lineRule="exact"/>
                                    <w:ind w:left="50"/>
                                    <w:rPr>
                                      <w:sz w:val="18"/>
                                    </w:rPr>
                                  </w:pPr>
                                  <w:r>
                                    <w:rPr>
                                      <w:sz w:val="18"/>
                                    </w:rPr>
                                    <w:t>Editorial</w:t>
                                  </w:r>
                                  <w:r>
                                    <w:rPr>
                                      <w:spacing w:val="-4"/>
                                      <w:sz w:val="18"/>
                                    </w:rPr>
                                    <w:t xml:space="preserve"> </w:t>
                                  </w:r>
                                  <w:r>
                                    <w:rPr>
                                      <w:spacing w:val="-2"/>
                                      <w:sz w:val="18"/>
                                    </w:rPr>
                                    <w:t>Contact:</w:t>
                                  </w:r>
                                </w:p>
                                <w:p w14:paraId="04A6EF45" w14:textId="77777777" w:rsidR="008D4B4B" w:rsidRDefault="008D4B4B" w:rsidP="008D4B4B">
                                  <w:pPr>
                                    <w:pStyle w:val="TableParagraph"/>
                                    <w:spacing w:before="40"/>
                                    <w:ind w:left="50"/>
                                    <w:rPr>
                                      <w:sz w:val="18"/>
                                    </w:rPr>
                                  </w:pPr>
                                  <w:r>
                                    <w:rPr>
                                      <w:sz w:val="18"/>
                                    </w:rPr>
                                    <w:t>Cortec</w:t>
                                  </w:r>
                                  <w:r>
                                    <w:rPr>
                                      <w:sz w:val="18"/>
                                      <w:vertAlign w:val="superscript"/>
                                    </w:rPr>
                                    <w:t>®</w:t>
                                  </w:r>
                                  <w:r>
                                    <w:rPr>
                                      <w:spacing w:val="-2"/>
                                      <w:sz w:val="18"/>
                                    </w:rPr>
                                    <w:t xml:space="preserve"> </w:t>
                                  </w:r>
                                  <w:r>
                                    <w:rPr>
                                      <w:sz w:val="18"/>
                                    </w:rPr>
                                    <w:t xml:space="preserve">Advertising </w:t>
                                  </w:r>
                                  <w:r>
                                    <w:rPr>
                                      <w:spacing w:val="-2"/>
                                      <w:sz w:val="18"/>
                                    </w:rPr>
                                    <w:t>Agency</w:t>
                                  </w:r>
                                </w:p>
                              </w:tc>
                              <w:tc>
                                <w:tcPr>
                                  <w:tcW w:w="2778" w:type="dxa"/>
                                </w:tcPr>
                                <w:p w14:paraId="1335D621" w14:textId="62FAF038" w:rsidR="008D4B4B" w:rsidRDefault="008D4B4B" w:rsidP="008D4B4B">
                                  <w:pPr>
                                    <w:pStyle w:val="TableParagraph"/>
                                    <w:spacing w:before="0" w:line="199" w:lineRule="exact"/>
                                    <w:rPr>
                                      <w:sz w:val="18"/>
                                    </w:rPr>
                                  </w:pPr>
                                  <w:r>
                                    <w:rPr>
                                      <w:sz w:val="18"/>
                                    </w:rPr>
                                    <w:t>Julie Holmquist</w:t>
                                  </w:r>
                                </w:p>
                                <w:p w14:paraId="13645BF9" w14:textId="722C8317" w:rsidR="008D4B4B" w:rsidRDefault="008D4B4B" w:rsidP="008D4B4B">
                                  <w:pPr>
                                    <w:pStyle w:val="TableParagraph"/>
                                    <w:spacing w:before="40"/>
                                    <w:rPr>
                                      <w:sz w:val="18"/>
                                    </w:rPr>
                                  </w:pPr>
                                  <w:r>
                                    <w:rPr>
                                      <w:sz w:val="18"/>
                                    </w:rPr>
                                    <w:t>(651)</w:t>
                                  </w:r>
                                  <w:r>
                                    <w:rPr>
                                      <w:spacing w:val="-4"/>
                                      <w:sz w:val="18"/>
                                    </w:rPr>
                                    <w:t xml:space="preserve"> </w:t>
                                  </w:r>
                                  <w:r>
                                    <w:rPr>
                                      <w:sz w:val="18"/>
                                    </w:rPr>
                                    <w:t>429-1100</w:t>
                                  </w:r>
                                  <w:r>
                                    <w:rPr>
                                      <w:spacing w:val="-3"/>
                                      <w:sz w:val="18"/>
                                    </w:rPr>
                                    <w:t xml:space="preserve"> </w:t>
                                  </w:r>
                                  <w:r>
                                    <w:rPr>
                                      <w:sz w:val="18"/>
                                    </w:rPr>
                                    <w:t xml:space="preserve">Ext. </w:t>
                                  </w:r>
                                  <w:r>
                                    <w:rPr>
                                      <w:spacing w:val="-4"/>
                                      <w:sz w:val="18"/>
                                    </w:rPr>
                                    <w:t>1194</w:t>
                                  </w:r>
                                </w:p>
                              </w:tc>
                              <w:tc>
                                <w:tcPr>
                                  <w:tcW w:w="2507" w:type="dxa"/>
                                </w:tcPr>
                                <w:p w14:paraId="0C292AD7" w14:textId="6206BC6F" w:rsidR="008D4B4B" w:rsidRDefault="00000000" w:rsidP="008D4B4B">
                                  <w:pPr>
                                    <w:pStyle w:val="TableParagraph"/>
                                    <w:spacing w:before="0" w:line="199" w:lineRule="exact"/>
                                    <w:ind w:left="0" w:right="155"/>
                                    <w:jc w:val="right"/>
                                    <w:rPr>
                                      <w:sz w:val="18"/>
                                    </w:rPr>
                                  </w:pPr>
                                  <w:hyperlink r:id="rId6">
                                    <w:r w:rsidR="008D4B4B">
                                      <w:rPr>
                                        <w:color w:val="0000FF"/>
                                        <w:spacing w:val="-2"/>
                                        <w:sz w:val="18"/>
                                        <w:u w:val="single" w:color="0000FF"/>
                                      </w:rPr>
                                      <w:t>jholmquist@cortecvci.com</w:t>
                                    </w:r>
                                  </w:hyperlink>
                                </w:p>
                              </w:tc>
                            </w:tr>
                            <w:tr w:rsidR="008D4B4B" w14:paraId="643E82DB" w14:textId="77777777">
                              <w:trPr>
                                <w:trHeight w:val="746"/>
                              </w:trPr>
                              <w:tc>
                                <w:tcPr>
                                  <w:tcW w:w="2526" w:type="dxa"/>
                                </w:tcPr>
                                <w:p w14:paraId="6A1DD0A5" w14:textId="30AE0A29" w:rsidR="008D4B4B" w:rsidRDefault="008D4B4B" w:rsidP="008D4B4B">
                                  <w:pPr>
                                    <w:pStyle w:val="TableParagraph"/>
                                    <w:spacing w:line="290" w:lineRule="auto"/>
                                    <w:ind w:left="50" w:right="982" w:hanging="1"/>
                                    <w:rPr>
                                      <w:sz w:val="18"/>
                                    </w:rPr>
                                  </w:pPr>
                                </w:p>
                              </w:tc>
                              <w:tc>
                                <w:tcPr>
                                  <w:tcW w:w="2778" w:type="dxa"/>
                                </w:tcPr>
                                <w:p w14:paraId="14474B88" w14:textId="0DA212C1" w:rsidR="008D4B4B" w:rsidRDefault="008D4B4B" w:rsidP="008D4B4B">
                                  <w:pPr>
                                    <w:pStyle w:val="TableParagraph"/>
                                    <w:rPr>
                                      <w:sz w:val="18"/>
                                    </w:rPr>
                                  </w:pPr>
                                </w:p>
                              </w:tc>
                              <w:tc>
                                <w:tcPr>
                                  <w:tcW w:w="2507" w:type="dxa"/>
                                </w:tcPr>
                                <w:p w14:paraId="0E295F6D" w14:textId="54DD7ECF" w:rsidR="008D4B4B" w:rsidRDefault="008D4B4B" w:rsidP="008D4B4B">
                                  <w:pPr>
                                    <w:pStyle w:val="TableParagraph"/>
                                    <w:ind w:left="0" w:right="46"/>
                                    <w:jc w:val="right"/>
                                    <w:rPr>
                                      <w:sz w:val="18"/>
                                    </w:rPr>
                                  </w:pPr>
                                </w:p>
                              </w:tc>
                            </w:tr>
                            <w:tr w:rsidR="008D4B4B" w14:paraId="4658D4D3" w14:textId="77777777">
                              <w:trPr>
                                <w:trHeight w:val="595"/>
                              </w:trPr>
                              <w:tc>
                                <w:tcPr>
                                  <w:tcW w:w="2526" w:type="dxa"/>
                                </w:tcPr>
                                <w:p w14:paraId="4D2EF67B" w14:textId="77777777" w:rsidR="008D4B4B" w:rsidRDefault="008D4B4B" w:rsidP="008D4B4B">
                                  <w:pPr>
                                    <w:pStyle w:val="TableParagraph"/>
                                    <w:spacing w:before="95" w:line="240" w:lineRule="atLeast"/>
                                    <w:ind w:left="50" w:right="982"/>
                                    <w:rPr>
                                      <w:sz w:val="18"/>
                                    </w:rPr>
                                  </w:pPr>
                                </w:p>
                              </w:tc>
                              <w:tc>
                                <w:tcPr>
                                  <w:tcW w:w="2778" w:type="dxa"/>
                                </w:tcPr>
                                <w:p w14:paraId="1DB2AE3E" w14:textId="77777777" w:rsidR="008D4B4B" w:rsidRDefault="008D4B4B" w:rsidP="008D4B4B">
                                  <w:pPr>
                                    <w:pStyle w:val="TableParagraph"/>
                                    <w:spacing w:before="40" w:line="187" w:lineRule="exact"/>
                                    <w:rPr>
                                      <w:sz w:val="18"/>
                                    </w:rPr>
                                  </w:pPr>
                                </w:p>
                              </w:tc>
                              <w:tc>
                                <w:tcPr>
                                  <w:tcW w:w="2507" w:type="dxa"/>
                                </w:tcPr>
                                <w:p w14:paraId="6AD34707" w14:textId="77777777" w:rsidR="008D4B4B" w:rsidRDefault="008D4B4B" w:rsidP="008D4B4B">
                                  <w:pPr>
                                    <w:pStyle w:val="TableParagraph"/>
                                    <w:ind w:left="0" w:right="155"/>
                                    <w:jc w:val="right"/>
                                    <w:rPr>
                                      <w:sz w:val="18"/>
                                    </w:rPr>
                                  </w:pPr>
                                </w:p>
                              </w:tc>
                            </w:tr>
                          </w:tbl>
                          <w:p w14:paraId="58E9711A" w14:textId="77777777" w:rsidR="00557470" w:rsidRDefault="00557470" w:rsidP="00557470">
                            <w:pPr>
                              <w:pStyle w:val="Tijeloteksta"/>
                            </w:pPr>
                          </w:p>
                        </w:txbxContent>
                      </wps:txbx>
                      <wps:bodyPr rot="0" vert="horz" wrap="square" lIns="0" tIns="0" rIns="0" bIns="0" anchor="t" anchorCtr="0" upright="1">
                        <a:noAutofit/>
                      </wps:bodyPr>
                    </wps:wsp>
                  </a:graphicData>
                </a:graphic>
              </wp:inline>
            </w:drawing>
          </mc:Choice>
          <mc:Fallback>
            <w:pict>
              <v:shapetype w14:anchorId="6443726C" id="_x0000_t202" coordsize="21600,21600" o:spt="202" path="m,l,21600r21600,l21600,xe">
                <v:stroke joinstyle="miter"/>
                <v:path gradientshapeok="t" o:connecttype="rect"/>
              </v:shapetype>
              <v:shape id="docshape1" o:spid="_x0000_s1026" type="#_x0000_t202" style="width:390.65pt;height: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526"/>
                        <w:gridCol w:w="2778"/>
                        <w:gridCol w:w="2507"/>
                      </w:tblGrid>
                      <w:tr w:rsidR="008D4B4B" w14:paraId="225D233E" w14:textId="77777777">
                        <w:trPr>
                          <w:trHeight w:val="595"/>
                        </w:trPr>
                        <w:tc>
                          <w:tcPr>
                            <w:tcW w:w="2526" w:type="dxa"/>
                          </w:tcPr>
                          <w:p w14:paraId="206603A7" w14:textId="77777777" w:rsidR="008D4B4B" w:rsidRDefault="008D4B4B" w:rsidP="008D4B4B">
                            <w:pPr>
                              <w:pStyle w:val="TableParagraph"/>
                              <w:spacing w:before="0" w:line="199" w:lineRule="exact"/>
                              <w:ind w:left="50"/>
                              <w:rPr>
                                <w:sz w:val="18"/>
                              </w:rPr>
                            </w:pPr>
                            <w:r>
                              <w:rPr>
                                <w:sz w:val="18"/>
                              </w:rPr>
                              <w:t>Editorial</w:t>
                            </w:r>
                            <w:r>
                              <w:rPr>
                                <w:spacing w:val="-4"/>
                                <w:sz w:val="18"/>
                              </w:rPr>
                              <w:t xml:space="preserve"> </w:t>
                            </w:r>
                            <w:r>
                              <w:rPr>
                                <w:spacing w:val="-2"/>
                                <w:sz w:val="18"/>
                              </w:rPr>
                              <w:t>Contact:</w:t>
                            </w:r>
                          </w:p>
                          <w:p w14:paraId="04A6EF45" w14:textId="77777777" w:rsidR="008D4B4B" w:rsidRDefault="008D4B4B" w:rsidP="008D4B4B">
                            <w:pPr>
                              <w:pStyle w:val="TableParagraph"/>
                              <w:spacing w:before="40"/>
                              <w:ind w:left="50"/>
                              <w:rPr>
                                <w:sz w:val="18"/>
                              </w:rPr>
                            </w:pPr>
                            <w:r>
                              <w:rPr>
                                <w:sz w:val="18"/>
                              </w:rPr>
                              <w:t>Cortec</w:t>
                            </w:r>
                            <w:r>
                              <w:rPr>
                                <w:sz w:val="18"/>
                                <w:vertAlign w:val="superscript"/>
                              </w:rPr>
                              <w:t>®</w:t>
                            </w:r>
                            <w:r>
                              <w:rPr>
                                <w:spacing w:val="-2"/>
                                <w:sz w:val="18"/>
                              </w:rPr>
                              <w:t xml:space="preserve"> </w:t>
                            </w:r>
                            <w:r>
                              <w:rPr>
                                <w:sz w:val="18"/>
                              </w:rPr>
                              <w:t xml:space="preserve">Advertising </w:t>
                            </w:r>
                            <w:r>
                              <w:rPr>
                                <w:spacing w:val="-2"/>
                                <w:sz w:val="18"/>
                              </w:rPr>
                              <w:t>Agency</w:t>
                            </w:r>
                          </w:p>
                        </w:tc>
                        <w:tc>
                          <w:tcPr>
                            <w:tcW w:w="2778" w:type="dxa"/>
                          </w:tcPr>
                          <w:p w14:paraId="1335D621" w14:textId="62FAF038" w:rsidR="008D4B4B" w:rsidRDefault="008D4B4B" w:rsidP="008D4B4B">
                            <w:pPr>
                              <w:pStyle w:val="TableParagraph"/>
                              <w:spacing w:before="0" w:line="199" w:lineRule="exact"/>
                              <w:rPr>
                                <w:sz w:val="18"/>
                              </w:rPr>
                            </w:pPr>
                            <w:r>
                              <w:rPr>
                                <w:sz w:val="18"/>
                              </w:rPr>
                              <w:t>Julie Holmquist</w:t>
                            </w:r>
                          </w:p>
                          <w:p w14:paraId="13645BF9" w14:textId="722C8317" w:rsidR="008D4B4B" w:rsidRDefault="008D4B4B" w:rsidP="008D4B4B">
                            <w:pPr>
                              <w:pStyle w:val="TableParagraph"/>
                              <w:spacing w:before="40"/>
                              <w:rPr>
                                <w:sz w:val="18"/>
                              </w:rPr>
                            </w:pPr>
                            <w:r>
                              <w:rPr>
                                <w:sz w:val="18"/>
                              </w:rPr>
                              <w:t>(651)</w:t>
                            </w:r>
                            <w:r>
                              <w:rPr>
                                <w:spacing w:val="-4"/>
                                <w:sz w:val="18"/>
                              </w:rPr>
                              <w:t xml:space="preserve"> </w:t>
                            </w:r>
                            <w:r>
                              <w:rPr>
                                <w:sz w:val="18"/>
                              </w:rPr>
                              <w:t>429-1100</w:t>
                            </w:r>
                            <w:r>
                              <w:rPr>
                                <w:spacing w:val="-3"/>
                                <w:sz w:val="18"/>
                              </w:rPr>
                              <w:t xml:space="preserve"> </w:t>
                            </w:r>
                            <w:r>
                              <w:rPr>
                                <w:sz w:val="18"/>
                              </w:rPr>
                              <w:t xml:space="preserve">Ext. </w:t>
                            </w:r>
                            <w:r>
                              <w:rPr>
                                <w:spacing w:val="-4"/>
                                <w:sz w:val="18"/>
                              </w:rPr>
                              <w:t>1194</w:t>
                            </w:r>
                          </w:p>
                        </w:tc>
                        <w:tc>
                          <w:tcPr>
                            <w:tcW w:w="2507" w:type="dxa"/>
                          </w:tcPr>
                          <w:p w14:paraId="0C292AD7" w14:textId="6206BC6F" w:rsidR="008D4B4B" w:rsidRDefault="00000000" w:rsidP="008D4B4B">
                            <w:pPr>
                              <w:pStyle w:val="TableParagraph"/>
                              <w:spacing w:before="0" w:line="199" w:lineRule="exact"/>
                              <w:ind w:left="0" w:right="155"/>
                              <w:jc w:val="right"/>
                              <w:rPr>
                                <w:sz w:val="18"/>
                              </w:rPr>
                            </w:pPr>
                            <w:hyperlink r:id="rId7">
                              <w:r w:rsidR="008D4B4B">
                                <w:rPr>
                                  <w:color w:val="0000FF"/>
                                  <w:spacing w:val="-2"/>
                                  <w:sz w:val="18"/>
                                  <w:u w:val="single" w:color="0000FF"/>
                                </w:rPr>
                                <w:t>jholmquist@cortecvci.com</w:t>
                              </w:r>
                            </w:hyperlink>
                          </w:p>
                        </w:tc>
                      </w:tr>
                      <w:tr w:rsidR="008D4B4B" w14:paraId="643E82DB" w14:textId="77777777">
                        <w:trPr>
                          <w:trHeight w:val="746"/>
                        </w:trPr>
                        <w:tc>
                          <w:tcPr>
                            <w:tcW w:w="2526" w:type="dxa"/>
                          </w:tcPr>
                          <w:p w14:paraId="6A1DD0A5" w14:textId="30AE0A29" w:rsidR="008D4B4B" w:rsidRDefault="008D4B4B" w:rsidP="008D4B4B">
                            <w:pPr>
                              <w:pStyle w:val="TableParagraph"/>
                              <w:spacing w:line="290" w:lineRule="auto"/>
                              <w:ind w:left="50" w:right="982" w:hanging="1"/>
                              <w:rPr>
                                <w:sz w:val="18"/>
                              </w:rPr>
                            </w:pPr>
                          </w:p>
                        </w:tc>
                        <w:tc>
                          <w:tcPr>
                            <w:tcW w:w="2778" w:type="dxa"/>
                          </w:tcPr>
                          <w:p w14:paraId="14474B88" w14:textId="0DA212C1" w:rsidR="008D4B4B" w:rsidRDefault="008D4B4B" w:rsidP="008D4B4B">
                            <w:pPr>
                              <w:pStyle w:val="TableParagraph"/>
                              <w:rPr>
                                <w:sz w:val="18"/>
                              </w:rPr>
                            </w:pPr>
                          </w:p>
                        </w:tc>
                        <w:tc>
                          <w:tcPr>
                            <w:tcW w:w="2507" w:type="dxa"/>
                          </w:tcPr>
                          <w:p w14:paraId="0E295F6D" w14:textId="54DD7ECF" w:rsidR="008D4B4B" w:rsidRDefault="008D4B4B" w:rsidP="008D4B4B">
                            <w:pPr>
                              <w:pStyle w:val="TableParagraph"/>
                              <w:ind w:left="0" w:right="46"/>
                              <w:jc w:val="right"/>
                              <w:rPr>
                                <w:sz w:val="18"/>
                              </w:rPr>
                            </w:pPr>
                          </w:p>
                        </w:tc>
                      </w:tr>
                      <w:tr w:rsidR="008D4B4B" w14:paraId="4658D4D3" w14:textId="77777777">
                        <w:trPr>
                          <w:trHeight w:val="595"/>
                        </w:trPr>
                        <w:tc>
                          <w:tcPr>
                            <w:tcW w:w="2526" w:type="dxa"/>
                          </w:tcPr>
                          <w:p w14:paraId="4D2EF67B" w14:textId="77777777" w:rsidR="008D4B4B" w:rsidRDefault="008D4B4B" w:rsidP="008D4B4B">
                            <w:pPr>
                              <w:pStyle w:val="TableParagraph"/>
                              <w:spacing w:before="95" w:line="240" w:lineRule="atLeast"/>
                              <w:ind w:left="50" w:right="982"/>
                              <w:rPr>
                                <w:sz w:val="18"/>
                              </w:rPr>
                            </w:pPr>
                          </w:p>
                        </w:tc>
                        <w:tc>
                          <w:tcPr>
                            <w:tcW w:w="2778" w:type="dxa"/>
                          </w:tcPr>
                          <w:p w14:paraId="1DB2AE3E" w14:textId="77777777" w:rsidR="008D4B4B" w:rsidRDefault="008D4B4B" w:rsidP="008D4B4B">
                            <w:pPr>
                              <w:pStyle w:val="TableParagraph"/>
                              <w:spacing w:before="40" w:line="187" w:lineRule="exact"/>
                              <w:rPr>
                                <w:sz w:val="18"/>
                              </w:rPr>
                            </w:pPr>
                          </w:p>
                        </w:tc>
                        <w:tc>
                          <w:tcPr>
                            <w:tcW w:w="2507" w:type="dxa"/>
                          </w:tcPr>
                          <w:p w14:paraId="6AD34707" w14:textId="77777777" w:rsidR="008D4B4B" w:rsidRDefault="008D4B4B" w:rsidP="008D4B4B">
                            <w:pPr>
                              <w:pStyle w:val="TableParagraph"/>
                              <w:ind w:left="0" w:right="155"/>
                              <w:jc w:val="right"/>
                              <w:rPr>
                                <w:sz w:val="18"/>
                              </w:rPr>
                            </w:pPr>
                          </w:p>
                        </w:tc>
                      </w:tr>
                    </w:tbl>
                    <w:p w14:paraId="58E9711A" w14:textId="77777777" w:rsidR="00557470" w:rsidRDefault="00557470" w:rsidP="00557470">
                      <w:pPr>
                        <w:pStyle w:val="Tijeloteksta"/>
                      </w:pPr>
                    </w:p>
                  </w:txbxContent>
                </v:textbox>
                <w10:anchorlock/>
              </v:shape>
            </w:pict>
          </mc:Fallback>
        </mc:AlternateContent>
      </w:r>
      <w:r w:rsidR="00721FDD">
        <w:rPr>
          <w:position w:val="15"/>
          <w:sz w:val="20"/>
        </w:rPr>
        <w:tab/>
      </w:r>
      <w:r w:rsidR="00721FDD">
        <w:rPr>
          <w:noProof/>
          <w:sz w:val="20"/>
        </w:rPr>
        <w:drawing>
          <wp:inline distT="0" distB="0" distL="0" distR="0" wp14:anchorId="36E72B14" wp14:editId="5D6C5F87">
            <wp:extent cx="1288711" cy="145256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288711" cy="1452562"/>
                    </a:xfrm>
                    <a:prstGeom prst="rect">
                      <a:avLst/>
                    </a:prstGeom>
                  </pic:spPr>
                </pic:pic>
              </a:graphicData>
            </a:graphic>
          </wp:inline>
        </w:drawing>
      </w:r>
    </w:p>
    <w:p w14:paraId="28A59893" w14:textId="255155A7" w:rsidR="00C241B8" w:rsidRPr="00733D18" w:rsidRDefault="00C241B8">
      <w:pPr>
        <w:pStyle w:val="Tijeloteksta"/>
        <w:rPr>
          <w:sz w:val="20"/>
        </w:rPr>
      </w:pPr>
    </w:p>
    <w:p w14:paraId="2EB656DE" w14:textId="0FFBCE2E" w:rsidR="00B038E6" w:rsidRPr="00727BE6" w:rsidRDefault="00BB0618" w:rsidP="00DC460F">
      <w:pPr>
        <w:ind w:left="3600" w:right="3600" w:hanging="1"/>
        <w:jc w:val="center"/>
        <w:rPr>
          <w:b/>
          <w:sz w:val="32"/>
          <w:szCs w:val="24"/>
        </w:rPr>
      </w:pPr>
      <w:r w:rsidRPr="00727BE6">
        <w:rPr>
          <w:b/>
          <w:sz w:val="32"/>
          <w:szCs w:val="24"/>
        </w:rPr>
        <w:t xml:space="preserve">Attention: Editor </w:t>
      </w:r>
      <w:r w:rsidR="001B7BFE" w:rsidRPr="00727BE6">
        <w:rPr>
          <w:b/>
          <w:sz w:val="32"/>
          <w:szCs w:val="24"/>
        </w:rPr>
        <w:t xml:space="preserve">  </w:t>
      </w:r>
    </w:p>
    <w:p w14:paraId="469D545C" w14:textId="16AFE1CE" w:rsidR="00B038E6" w:rsidRPr="00727BE6" w:rsidRDefault="00191320" w:rsidP="00DC460F">
      <w:pPr>
        <w:ind w:left="3600" w:right="3600" w:hanging="1"/>
        <w:jc w:val="center"/>
        <w:rPr>
          <w:b/>
          <w:sz w:val="32"/>
          <w:szCs w:val="24"/>
        </w:rPr>
      </w:pPr>
      <w:r>
        <w:rPr>
          <w:b/>
          <w:sz w:val="32"/>
          <w:szCs w:val="24"/>
        </w:rPr>
        <w:t>August</w:t>
      </w:r>
      <w:r w:rsidR="0097302F">
        <w:rPr>
          <w:b/>
          <w:sz w:val="32"/>
          <w:szCs w:val="24"/>
        </w:rPr>
        <w:t xml:space="preserve"> </w:t>
      </w:r>
      <w:r>
        <w:rPr>
          <w:b/>
          <w:sz w:val="32"/>
          <w:szCs w:val="24"/>
        </w:rPr>
        <w:t>08</w:t>
      </w:r>
      <w:r w:rsidR="0097302F">
        <w:rPr>
          <w:b/>
          <w:sz w:val="32"/>
          <w:szCs w:val="24"/>
        </w:rPr>
        <w:t>, 2024</w:t>
      </w:r>
      <w:r w:rsidR="001B7BFE" w:rsidRPr="00727BE6">
        <w:rPr>
          <w:b/>
          <w:sz w:val="32"/>
          <w:szCs w:val="24"/>
        </w:rPr>
        <w:t xml:space="preserve"> </w:t>
      </w:r>
      <w:r w:rsidR="00BB0618" w:rsidRPr="00727BE6">
        <w:rPr>
          <w:b/>
          <w:sz w:val="32"/>
          <w:szCs w:val="24"/>
        </w:rPr>
        <w:t xml:space="preserve"> </w:t>
      </w:r>
    </w:p>
    <w:p w14:paraId="44000300" w14:textId="6921855C" w:rsidR="00C241B8" w:rsidRPr="00727BE6" w:rsidRDefault="00BB0618" w:rsidP="00DC460F">
      <w:pPr>
        <w:ind w:left="3600" w:right="3600" w:hanging="1"/>
        <w:jc w:val="center"/>
        <w:rPr>
          <w:b/>
          <w:sz w:val="32"/>
          <w:szCs w:val="24"/>
        </w:rPr>
      </w:pPr>
      <w:r w:rsidRPr="00727BE6">
        <w:rPr>
          <w:b/>
          <w:sz w:val="32"/>
          <w:szCs w:val="24"/>
        </w:rPr>
        <w:t>PR</w:t>
      </w:r>
      <w:r w:rsidR="00CE05C2" w:rsidRPr="00727BE6">
        <w:rPr>
          <w:b/>
          <w:sz w:val="32"/>
          <w:szCs w:val="24"/>
        </w:rPr>
        <w:t>ESS</w:t>
      </w:r>
      <w:r w:rsidR="00106AD1" w:rsidRPr="00727BE6">
        <w:rPr>
          <w:b/>
          <w:sz w:val="32"/>
          <w:szCs w:val="24"/>
        </w:rPr>
        <w:t xml:space="preserve"> </w:t>
      </w:r>
      <w:r w:rsidRPr="00727BE6">
        <w:rPr>
          <w:b/>
          <w:sz w:val="32"/>
          <w:szCs w:val="24"/>
        </w:rPr>
        <w:t>RELEASE</w:t>
      </w:r>
    </w:p>
    <w:p w14:paraId="20314F8F" w14:textId="1A187EBC" w:rsidR="004466EC" w:rsidRPr="000530CA" w:rsidRDefault="004466EC" w:rsidP="00045A39">
      <w:pPr>
        <w:pStyle w:val="Tijeloteksta"/>
        <w:spacing w:before="3"/>
        <w:rPr>
          <w:b/>
          <w:bCs/>
          <w:sz w:val="32"/>
          <w:szCs w:val="32"/>
        </w:rPr>
      </w:pPr>
    </w:p>
    <w:p w14:paraId="4BE8B9DD" w14:textId="4C6F4912" w:rsidR="002E5984" w:rsidRPr="00BB57E5" w:rsidRDefault="006338F8" w:rsidP="008E5200">
      <w:pPr>
        <w:ind w:left="100"/>
        <w:jc w:val="center"/>
        <w:rPr>
          <w:rFonts w:ascii="Times" w:hAnsi="Times" w:cs="Times"/>
          <w:b/>
          <w:bCs/>
          <w:color w:val="231F20"/>
          <w:sz w:val="16"/>
          <w:szCs w:val="16"/>
        </w:rPr>
      </w:pPr>
      <w:r>
        <w:rPr>
          <w:rFonts w:ascii="Times" w:hAnsi="Times" w:cs="Times"/>
          <w:b/>
          <w:bCs/>
          <w:noProof/>
          <w:color w:val="231F20"/>
          <w:sz w:val="16"/>
          <w:szCs w:val="16"/>
        </w:rPr>
        <w:drawing>
          <wp:inline distT="0" distB="0" distL="0" distR="0" wp14:anchorId="6FD704B9" wp14:editId="1B30B456">
            <wp:extent cx="3143250" cy="908050"/>
            <wp:effectExtent l="0" t="0" r="0" b="6350"/>
            <wp:docPr id="250923992"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7817" cy="912258"/>
                    </a:xfrm>
                    <a:prstGeom prst="rect">
                      <a:avLst/>
                    </a:prstGeom>
                    <a:noFill/>
                  </pic:spPr>
                </pic:pic>
              </a:graphicData>
            </a:graphic>
          </wp:inline>
        </w:drawing>
      </w:r>
    </w:p>
    <w:p w14:paraId="16E44D64" w14:textId="7AF77115" w:rsidR="00ED44D0" w:rsidRPr="002868FC" w:rsidRDefault="00ED44D0" w:rsidP="00ED44D0">
      <w:pPr>
        <w:jc w:val="center"/>
        <w:rPr>
          <w:b/>
          <w:bCs/>
          <w:sz w:val="40"/>
          <w:szCs w:val="40"/>
        </w:rPr>
      </w:pPr>
      <w:r w:rsidRPr="002868FC">
        <w:rPr>
          <w:b/>
          <w:bCs/>
          <w:sz w:val="40"/>
          <w:szCs w:val="40"/>
        </w:rPr>
        <w:t>Subsea &amp; Topside Corrosion Solutions for a Fluctuating Offshore Market</w:t>
      </w:r>
    </w:p>
    <w:p w14:paraId="315423AD" w14:textId="6CCAE8BC" w:rsidR="00CC2933" w:rsidRPr="002868FC" w:rsidRDefault="00CC2933" w:rsidP="00B237EB">
      <w:pPr>
        <w:spacing w:line="360" w:lineRule="auto"/>
        <w:jc w:val="both"/>
        <w:rPr>
          <w:b/>
          <w:bCs/>
          <w:sz w:val="24"/>
          <w:szCs w:val="24"/>
        </w:rPr>
      </w:pPr>
    </w:p>
    <w:p w14:paraId="6BF7925B" w14:textId="73E5FEF0" w:rsidR="00ED44D0" w:rsidRPr="002868FC" w:rsidRDefault="006338F8" w:rsidP="002868FC">
      <w:pPr>
        <w:spacing w:line="360" w:lineRule="auto"/>
        <w:jc w:val="both"/>
        <w:rPr>
          <w:sz w:val="24"/>
          <w:szCs w:val="24"/>
        </w:rPr>
      </w:pPr>
      <w:r w:rsidRPr="006338F8">
        <w:rPr>
          <w:noProof/>
          <w:sz w:val="24"/>
          <w:szCs w:val="24"/>
        </w:rPr>
        <w:drawing>
          <wp:anchor distT="0" distB="0" distL="114300" distR="114300" simplePos="0" relativeHeight="251662336" behindDoc="0" locked="0" layoutInCell="1" allowOverlap="1" wp14:anchorId="4784B9C8" wp14:editId="576F063C">
            <wp:simplePos x="0" y="0"/>
            <wp:positionH relativeFrom="column">
              <wp:posOffset>3924300</wp:posOffset>
            </wp:positionH>
            <wp:positionV relativeFrom="paragraph">
              <wp:posOffset>8255</wp:posOffset>
            </wp:positionV>
            <wp:extent cx="3068955" cy="2089150"/>
            <wp:effectExtent l="0" t="0" r="0" b="6350"/>
            <wp:wrapSquare wrapText="bothSides"/>
            <wp:docPr id="98244655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46554" name=""/>
                    <pic:cNvPicPr/>
                  </pic:nvPicPr>
                  <pic:blipFill>
                    <a:blip r:embed="rId10">
                      <a:extLst>
                        <a:ext uri="{28A0092B-C50C-407E-A947-70E740481C1C}">
                          <a14:useLocalDpi xmlns:a14="http://schemas.microsoft.com/office/drawing/2010/main" val="0"/>
                        </a:ext>
                      </a:extLst>
                    </a:blip>
                    <a:stretch>
                      <a:fillRect/>
                    </a:stretch>
                  </pic:blipFill>
                  <pic:spPr>
                    <a:xfrm>
                      <a:off x="0" y="0"/>
                      <a:ext cx="3068955" cy="2089150"/>
                    </a:xfrm>
                    <a:prstGeom prst="rect">
                      <a:avLst/>
                    </a:prstGeom>
                  </pic:spPr>
                </pic:pic>
              </a:graphicData>
            </a:graphic>
          </wp:anchor>
        </w:drawing>
      </w:r>
      <w:r w:rsidR="00ED44D0" w:rsidRPr="002868FC">
        <w:rPr>
          <w:sz w:val="24"/>
          <w:szCs w:val="24"/>
        </w:rPr>
        <w:t xml:space="preserve">The oil and gas market can change at any moment. Unfortunately, infrastructure development takes so long that a good market outlook at the beginning of a greenfield </w:t>
      </w:r>
      <w:proofErr w:type="spellStart"/>
      <w:r w:rsidR="00ED44D0" w:rsidRPr="002868FC">
        <w:rPr>
          <w:sz w:val="24"/>
          <w:szCs w:val="24"/>
        </w:rPr>
        <w:t>projec</w:t>
      </w:r>
      <w:proofErr w:type="spellEnd"/>
      <w:r w:rsidRPr="006338F8">
        <w:rPr>
          <w:noProof/>
        </w:rPr>
        <w:t xml:space="preserve"> </w:t>
      </w:r>
      <w:r w:rsidR="00ED44D0" w:rsidRPr="002868FC">
        <w:rPr>
          <w:sz w:val="24"/>
          <w:szCs w:val="24"/>
        </w:rPr>
        <w:t>t may have completely changed by the time offshore installation is done. It is therefore important for oil and gas companies to have adaptable, low maintenance corrosion solutions to preserve topside and subsea piping and pipelines in case of delayed commissioning from unexpected market drops.</w:t>
      </w:r>
    </w:p>
    <w:p w14:paraId="0EE3AEB4" w14:textId="26808152" w:rsidR="00ED44D0" w:rsidRPr="002868FC" w:rsidRDefault="00ED44D0" w:rsidP="002868FC">
      <w:pPr>
        <w:spacing w:line="360" w:lineRule="auto"/>
        <w:jc w:val="both"/>
        <w:rPr>
          <w:sz w:val="24"/>
          <w:szCs w:val="24"/>
        </w:rPr>
      </w:pPr>
    </w:p>
    <w:p w14:paraId="13B69164" w14:textId="0A5BF19B" w:rsidR="00ED44D0" w:rsidRPr="002868FC" w:rsidRDefault="00ED44D0" w:rsidP="002868FC">
      <w:pPr>
        <w:spacing w:line="360" w:lineRule="auto"/>
        <w:jc w:val="both"/>
        <w:rPr>
          <w:b/>
          <w:bCs/>
          <w:sz w:val="24"/>
          <w:szCs w:val="24"/>
        </w:rPr>
      </w:pPr>
      <w:r w:rsidRPr="002868FC">
        <w:rPr>
          <w:b/>
          <w:bCs/>
          <w:sz w:val="24"/>
          <w:szCs w:val="24"/>
        </w:rPr>
        <w:t>Topside and Subsea Preservation Needs</w:t>
      </w:r>
    </w:p>
    <w:p w14:paraId="5DF46532" w14:textId="1966C93C" w:rsidR="00ED44D0" w:rsidRPr="002868FC" w:rsidRDefault="00ED44D0" w:rsidP="002868FC">
      <w:pPr>
        <w:spacing w:line="360" w:lineRule="auto"/>
        <w:jc w:val="both"/>
        <w:rPr>
          <w:sz w:val="24"/>
          <w:szCs w:val="24"/>
        </w:rPr>
      </w:pPr>
      <w:r w:rsidRPr="002868FC">
        <w:rPr>
          <w:sz w:val="24"/>
          <w:szCs w:val="24"/>
        </w:rPr>
        <w:t>Internal corrosion threatens the longevity and integrity of piping and pipelines, which are indispensable to offshore production. On the topside are water injection systems, gas piping systems, and crude oil lines that need protection. Subsea gas lift lines and pipelines carrying crude oil from platform to platform or from platform to land also need to be preserved. Even when other systems are commissioned, water injection and gas lift lines may need extended preservation until a drop in well pressure demands their use.</w:t>
      </w:r>
    </w:p>
    <w:p w14:paraId="038F802D" w14:textId="15838899" w:rsidR="00ED44D0" w:rsidRPr="002868FC" w:rsidRDefault="00ED44D0" w:rsidP="002868FC">
      <w:pPr>
        <w:spacing w:line="360" w:lineRule="auto"/>
        <w:jc w:val="both"/>
        <w:rPr>
          <w:sz w:val="24"/>
          <w:szCs w:val="24"/>
        </w:rPr>
      </w:pPr>
    </w:p>
    <w:p w14:paraId="03DB0E07" w14:textId="137225B9" w:rsidR="00ED44D0" w:rsidRPr="002868FC" w:rsidRDefault="006338F8" w:rsidP="002868FC">
      <w:pPr>
        <w:spacing w:line="360" w:lineRule="auto"/>
        <w:jc w:val="both"/>
        <w:rPr>
          <w:b/>
          <w:bCs/>
          <w:sz w:val="24"/>
          <w:szCs w:val="24"/>
        </w:rPr>
      </w:pPr>
      <w:r>
        <w:rPr>
          <w:b/>
          <w:bCs/>
          <w:noProof/>
          <w:sz w:val="24"/>
          <w:szCs w:val="24"/>
        </w:rPr>
        <w:lastRenderedPageBreak/>
        <w:drawing>
          <wp:anchor distT="0" distB="0" distL="114300" distR="114300" simplePos="0" relativeHeight="251663360" behindDoc="0" locked="0" layoutInCell="1" allowOverlap="1" wp14:anchorId="5B9722BE" wp14:editId="4FF600D7">
            <wp:simplePos x="0" y="0"/>
            <wp:positionH relativeFrom="column">
              <wp:posOffset>0</wp:posOffset>
            </wp:positionH>
            <wp:positionV relativeFrom="paragraph">
              <wp:posOffset>2540</wp:posOffset>
            </wp:positionV>
            <wp:extent cx="3321050" cy="2235200"/>
            <wp:effectExtent l="0" t="0" r="0" b="0"/>
            <wp:wrapSquare wrapText="bothSides"/>
            <wp:docPr id="101998149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1050" cy="2235200"/>
                    </a:xfrm>
                    <a:prstGeom prst="rect">
                      <a:avLst/>
                    </a:prstGeom>
                    <a:noFill/>
                  </pic:spPr>
                </pic:pic>
              </a:graphicData>
            </a:graphic>
          </wp:anchor>
        </w:drawing>
      </w:r>
      <w:r w:rsidR="00ED44D0" w:rsidRPr="002868FC">
        <w:rPr>
          <w:b/>
          <w:bCs/>
          <w:sz w:val="24"/>
          <w:szCs w:val="24"/>
        </w:rPr>
        <w:t>The Practical Beauty of Vapor phase Corrosion Inhibitors</w:t>
      </w:r>
    </w:p>
    <w:p w14:paraId="05B5D460" w14:textId="03B96E28" w:rsidR="00ED44D0" w:rsidRPr="002868FC" w:rsidRDefault="00ED44D0" w:rsidP="002868FC">
      <w:pPr>
        <w:spacing w:line="360" w:lineRule="auto"/>
        <w:jc w:val="both"/>
        <w:rPr>
          <w:sz w:val="24"/>
          <w:szCs w:val="24"/>
        </w:rPr>
      </w:pPr>
      <w:r w:rsidRPr="002868FC">
        <w:rPr>
          <w:sz w:val="24"/>
          <w:szCs w:val="24"/>
        </w:rPr>
        <w:t>Vapor phase Corrosion Inhibitors increase the ease and flexibility of preserving tubular voids. The beauty of these inhibitors is that they vaporize and disperse themselves throughout an enclosure, adsorbing on metal surfaces to create a self-replenishing protective molecular layer. As long as the space stays closed, there is no need to maintain constant pressure or continue frequent monitoring as for nitrogen blanketing. Vapor phase Corrosion Inhibitors can be added to fluids or oils or simply fogged as a vapor into enclosures. Typically, little to no removal and/or cleaning is required before commissioning.</w:t>
      </w:r>
    </w:p>
    <w:p w14:paraId="1450FB4B" w14:textId="126A4A60" w:rsidR="00ED44D0" w:rsidRPr="002868FC" w:rsidRDefault="00ED44D0" w:rsidP="002868FC">
      <w:pPr>
        <w:spacing w:line="360" w:lineRule="auto"/>
        <w:jc w:val="both"/>
        <w:rPr>
          <w:sz w:val="24"/>
          <w:szCs w:val="24"/>
        </w:rPr>
      </w:pPr>
    </w:p>
    <w:p w14:paraId="2BA11256" w14:textId="559B9648" w:rsidR="00ED44D0" w:rsidRPr="002868FC" w:rsidRDefault="00ED44D0" w:rsidP="002868FC">
      <w:pPr>
        <w:tabs>
          <w:tab w:val="left" w:pos="5265"/>
        </w:tabs>
        <w:spacing w:line="360" w:lineRule="auto"/>
        <w:jc w:val="both"/>
        <w:rPr>
          <w:b/>
          <w:bCs/>
          <w:sz w:val="24"/>
          <w:szCs w:val="24"/>
        </w:rPr>
      </w:pPr>
      <w:r w:rsidRPr="002868FC">
        <w:rPr>
          <w:b/>
          <w:bCs/>
          <w:sz w:val="24"/>
          <w:szCs w:val="24"/>
        </w:rPr>
        <w:t>Multiple Scenarios for Offshore Protection</w:t>
      </w:r>
      <w:r w:rsidRPr="002868FC">
        <w:rPr>
          <w:b/>
          <w:bCs/>
          <w:sz w:val="24"/>
          <w:szCs w:val="24"/>
        </w:rPr>
        <w:tab/>
      </w:r>
    </w:p>
    <w:p w14:paraId="5D492E34" w14:textId="4CE136FA" w:rsidR="00ED44D0" w:rsidRPr="002868FC" w:rsidRDefault="006338F8" w:rsidP="002868FC">
      <w:pPr>
        <w:spacing w:line="360" w:lineRule="auto"/>
        <w:jc w:val="both"/>
        <w:rPr>
          <w:sz w:val="24"/>
          <w:szCs w:val="24"/>
        </w:rPr>
      </w:pPr>
      <w:r>
        <w:rPr>
          <w:noProof/>
          <w:sz w:val="24"/>
          <w:szCs w:val="24"/>
        </w:rPr>
        <w:drawing>
          <wp:anchor distT="0" distB="0" distL="114300" distR="114300" simplePos="0" relativeHeight="251664384" behindDoc="0" locked="0" layoutInCell="1" allowOverlap="1" wp14:anchorId="4F56D974" wp14:editId="2E08B18A">
            <wp:simplePos x="0" y="0"/>
            <wp:positionH relativeFrom="margin">
              <wp:align>right</wp:align>
            </wp:positionH>
            <wp:positionV relativeFrom="paragraph">
              <wp:posOffset>78105</wp:posOffset>
            </wp:positionV>
            <wp:extent cx="3067050" cy="3672840"/>
            <wp:effectExtent l="0" t="0" r="0" b="3810"/>
            <wp:wrapSquare wrapText="bothSides"/>
            <wp:docPr id="24186376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7050" cy="3672840"/>
                    </a:xfrm>
                    <a:prstGeom prst="rect">
                      <a:avLst/>
                    </a:prstGeom>
                    <a:noFill/>
                  </pic:spPr>
                </pic:pic>
              </a:graphicData>
            </a:graphic>
            <wp14:sizeRelH relativeFrom="margin">
              <wp14:pctWidth>0</wp14:pctWidth>
            </wp14:sizeRelH>
            <wp14:sizeRelV relativeFrom="margin">
              <wp14:pctHeight>0</wp14:pctHeight>
            </wp14:sizeRelV>
          </wp:anchor>
        </w:drawing>
      </w:r>
      <w:r w:rsidR="00ED44D0" w:rsidRPr="002868FC">
        <w:rPr>
          <w:sz w:val="24"/>
          <w:szCs w:val="24"/>
        </w:rPr>
        <w:t>There are many ways to apply Vapor phase Corrosion Inhibitors to offshore piping and pipeline systems. A creative option for short-term protection of subsea pipelines is to place Cortec</w:t>
      </w:r>
      <w:r w:rsidR="00ED44D0" w:rsidRPr="002868FC">
        <w:rPr>
          <w:sz w:val="24"/>
          <w:szCs w:val="24"/>
          <w:vertAlign w:val="superscript"/>
        </w:rPr>
        <w:t>®</w:t>
      </w:r>
      <w:r w:rsidR="00ED44D0" w:rsidRPr="002868FC">
        <w:rPr>
          <w:sz w:val="24"/>
          <w:szCs w:val="24"/>
        </w:rPr>
        <w:t xml:space="preserve"> </w:t>
      </w:r>
      <w:hyperlink r:id="rId13" w:history="1">
        <w:r w:rsidR="00ED44D0" w:rsidRPr="00FB55F9">
          <w:rPr>
            <w:rStyle w:val="Hiperveza"/>
            <w:sz w:val="24"/>
            <w:szCs w:val="24"/>
          </w:rPr>
          <w:t>EcoPouches</w:t>
        </w:r>
      </w:hyperlink>
      <w:r w:rsidR="00ED44D0" w:rsidRPr="002868FC">
        <w:rPr>
          <w:sz w:val="24"/>
          <w:szCs w:val="24"/>
        </w:rPr>
        <w:t>—breathable bags containing Vapor phase Corrosion Inhibitors—into a plenum and to blow the vapors through the system until they are detected at the other end. The system should then be closed to trap the vapors inside.</w:t>
      </w:r>
    </w:p>
    <w:p w14:paraId="7D4FA33F" w14:textId="231AD7A3" w:rsidR="00ED44D0" w:rsidRPr="002868FC" w:rsidRDefault="00ED44D0" w:rsidP="002868FC">
      <w:pPr>
        <w:spacing w:line="360" w:lineRule="auto"/>
        <w:jc w:val="both"/>
        <w:rPr>
          <w:sz w:val="24"/>
          <w:szCs w:val="24"/>
        </w:rPr>
      </w:pPr>
    </w:p>
    <w:p w14:paraId="5B7E6D3C" w14:textId="2D170068" w:rsidR="00ED44D0" w:rsidRPr="002868FC" w:rsidRDefault="00ED44D0" w:rsidP="002868FC">
      <w:pPr>
        <w:spacing w:line="360" w:lineRule="auto"/>
        <w:jc w:val="both"/>
        <w:rPr>
          <w:sz w:val="24"/>
          <w:szCs w:val="24"/>
        </w:rPr>
      </w:pPr>
      <w:r w:rsidRPr="002868FC">
        <w:rPr>
          <w:sz w:val="24"/>
          <w:szCs w:val="24"/>
        </w:rPr>
        <w:t>Another option is to apply Cortec</w:t>
      </w:r>
      <w:r w:rsidRPr="002868FC">
        <w:rPr>
          <w:sz w:val="24"/>
          <w:szCs w:val="24"/>
          <w:vertAlign w:val="superscript"/>
        </w:rPr>
        <w:t>®</w:t>
      </w:r>
      <w:r w:rsidRPr="002868FC">
        <w:rPr>
          <w:sz w:val="24"/>
          <w:szCs w:val="24"/>
        </w:rPr>
        <w:t xml:space="preserve"> </w:t>
      </w:r>
      <w:hyperlink r:id="rId14" w:history="1">
        <w:r w:rsidRPr="00FB55F9">
          <w:rPr>
            <w:rStyle w:val="Hiperveza"/>
            <w:sz w:val="24"/>
            <w:szCs w:val="24"/>
          </w:rPr>
          <w:t>VpCI</w:t>
        </w:r>
        <w:r w:rsidRPr="00FB55F9">
          <w:rPr>
            <w:rStyle w:val="Hiperveza"/>
            <w:sz w:val="24"/>
            <w:szCs w:val="24"/>
            <w:vertAlign w:val="superscript"/>
          </w:rPr>
          <w:t>®</w:t>
        </w:r>
        <w:r w:rsidRPr="00FB55F9">
          <w:rPr>
            <w:rStyle w:val="Hiperveza"/>
            <w:sz w:val="24"/>
            <w:szCs w:val="24"/>
          </w:rPr>
          <w:t>-649 BD</w:t>
        </w:r>
      </w:hyperlink>
      <w:r w:rsidRPr="002868FC">
        <w:rPr>
          <w:sz w:val="24"/>
          <w:szCs w:val="24"/>
        </w:rPr>
        <w:t>, a water-based liquid concentrate that can be flushed through the system to provide up to two years of preservation, depending on dosage. As VpCI</w:t>
      </w:r>
      <w:r w:rsidRPr="002868FC">
        <w:rPr>
          <w:sz w:val="24"/>
          <w:szCs w:val="24"/>
          <w:vertAlign w:val="superscript"/>
        </w:rPr>
        <w:t>®</w:t>
      </w:r>
      <w:r w:rsidRPr="002868FC">
        <w:rPr>
          <w:sz w:val="24"/>
          <w:szCs w:val="24"/>
        </w:rPr>
        <w:t>-649 BD circulates, it forms a thin protective film on the walls of the piping. This film inhibits corrosion on the metal it is directly touching but also emits vapors to protect surfaces in harder to reach areas that may have been missed during application.</w:t>
      </w:r>
    </w:p>
    <w:p w14:paraId="15FF028C" w14:textId="3EAAEE9B" w:rsidR="00ED44D0" w:rsidRPr="002868FC" w:rsidRDefault="00ED44D0" w:rsidP="002868FC">
      <w:pPr>
        <w:spacing w:line="360" w:lineRule="auto"/>
        <w:jc w:val="both"/>
        <w:rPr>
          <w:sz w:val="24"/>
          <w:szCs w:val="24"/>
        </w:rPr>
      </w:pPr>
    </w:p>
    <w:p w14:paraId="1C3189AA" w14:textId="09D21C58" w:rsidR="00ED44D0" w:rsidRPr="002868FC" w:rsidRDefault="00ED44D0" w:rsidP="002868FC">
      <w:pPr>
        <w:spacing w:line="360" w:lineRule="auto"/>
        <w:jc w:val="both"/>
        <w:rPr>
          <w:sz w:val="24"/>
          <w:szCs w:val="24"/>
        </w:rPr>
      </w:pPr>
      <w:r w:rsidRPr="002868FC">
        <w:rPr>
          <w:sz w:val="24"/>
          <w:szCs w:val="24"/>
        </w:rPr>
        <w:t xml:space="preserve">A final example is long-term preservation of subsea pipelines. This task is often performed by using nitrogen to purge all oxygen out of the system. Constant pressure must be maintained to ensure effectiveness. Since it is difficult and costly to monitor this on unmanned offshore platforms, it is better to have a complete replacement </w:t>
      </w:r>
      <w:r w:rsidR="006338F8">
        <w:rPr>
          <w:noProof/>
          <w:sz w:val="24"/>
          <w:szCs w:val="24"/>
        </w:rPr>
        <w:lastRenderedPageBreak/>
        <w:drawing>
          <wp:anchor distT="0" distB="0" distL="114300" distR="114300" simplePos="0" relativeHeight="251665408" behindDoc="0" locked="0" layoutInCell="1" allowOverlap="1" wp14:anchorId="6B38C598" wp14:editId="652C2202">
            <wp:simplePos x="0" y="0"/>
            <wp:positionH relativeFrom="column">
              <wp:posOffset>0</wp:posOffset>
            </wp:positionH>
            <wp:positionV relativeFrom="paragraph">
              <wp:posOffset>2540</wp:posOffset>
            </wp:positionV>
            <wp:extent cx="3295650" cy="2292350"/>
            <wp:effectExtent l="0" t="0" r="0" b="0"/>
            <wp:wrapSquare wrapText="bothSides"/>
            <wp:docPr id="599160320"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5650" cy="2292350"/>
                    </a:xfrm>
                    <a:prstGeom prst="rect">
                      <a:avLst/>
                    </a:prstGeom>
                    <a:noFill/>
                  </pic:spPr>
                </pic:pic>
              </a:graphicData>
            </a:graphic>
          </wp:anchor>
        </w:drawing>
      </w:r>
      <w:r w:rsidRPr="002868FC">
        <w:rPr>
          <w:sz w:val="24"/>
          <w:szCs w:val="24"/>
        </w:rPr>
        <w:t>for nitrogen or a backup system that will continue to work even if nitrogen pressure fails. A good answer is to fog an oil-soluble Vapor phase Corrosion Inhibitor through the subsea pipelines, either alone or in conjunction with nitrogen. Once the corrosion inhibitors are detected at the other end of the pipeline, the openings can be closed and (if nitrogen is used) the system pressurized. In the event of lost pressure and nitrogen, protection will continue thanks to Vapor phase Corrosion Inhibitors.</w:t>
      </w:r>
    </w:p>
    <w:p w14:paraId="7221D4C7" w14:textId="77777777" w:rsidR="00ED44D0" w:rsidRPr="002868FC" w:rsidRDefault="00ED44D0" w:rsidP="002868FC">
      <w:pPr>
        <w:spacing w:line="360" w:lineRule="auto"/>
        <w:jc w:val="both"/>
        <w:rPr>
          <w:sz w:val="24"/>
          <w:szCs w:val="24"/>
        </w:rPr>
      </w:pPr>
    </w:p>
    <w:p w14:paraId="337B03B1" w14:textId="77777777" w:rsidR="00ED44D0" w:rsidRPr="002868FC" w:rsidRDefault="00ED44D0" w:rsidP="002868FC">
      <w:pPr>
        <w:spacing w:line="360" w:lineRule="auto"/>
        <w:jc w:val="both"/>
        <w:rPr>
          <w:b/>
          <w:bCs/>
          <w:sz w:val="24"/>
          <w:szCs w:val="24"/>
        </w:rPr>
      </w:pPr>
      <w:r w:rsidRPr="002868FC">
        <w:rPr>
          <w:b/>
          <w:bCs/>
          <w:sz w:val="24"/>
          <w:szCs w:val="24"/>
        </w:rPr>
        <w:t>Stay Adaptable to Changing Market Demands</w:t>
      </w:r>
    </w:p>
    <w:p w14:paraId="11497B57" w14:textId="77777777" w:rsidR="00ED44D0" w:rsidRPr="002868FC" w:rsidRDefault="00ED44D0" w:rsidP="002868FC">
      <w:pPr>
        <w:spacing w:line="360" w:lineRule="auto"/>
        <w:jc w:val="both"/>
        <w:rPr>
          <w:sz w:val="24"/>
          <w:szCs w:val="24"/>
        </w:rPr>
      </w:pPr>
      <w:r w:rsidRPr="002868FC">
        <w:rPr>
          <w:sz w:val="24"/>
          <w:szCs w:val="24"/>
        </w:rPr>
        <w:t xml:space="preserve">Whatever the market holds, it is important to have effective and efficient preservation methods that make it easier for oil and gas companies to respond to market demands. Vapor phase Corrosion Inhibitors meet this definition and can help greenfield project owners stay adaptable in uncertain times. </w:t>
      </w:r>
      <w:hyperlink r:id="rId16" w:history="1">
        <w:r w:rsidRPr="002868FC">
          <w:rPr>
            <w:rStyle w:val="Hiperveza"/>
            <w:sz w:val="24"/>
            <w:szCs w:val="24"/>
          </w:rPr>
          <w:t>Contact Cortec</w:t>
        </w:r>
        <w:r w:rsidRPr="00FB55F9">
          <w:rPr>
            <w:rStyle w:val="Hiperveza"/>
            <w:sz w:val="24"/>
            <w:szCs w:val="24"/>
            <w:vertAlign w:val="superscript"/>
          </w:rPr>
          <w:t>®</w:t>
        </w:r>
        <w:r w:rsidRPr="002868FC">
          <w:rPr>
            <w:rStyle w:val="Hiperveza"/>
            <w:sz w:val="24"/>
            <w:szCs w:val="24"/>
          </w:rPr>
          <w:t xml:space="preserve"> to learn more about the many ways this technology can be used to preserve topside piping and subsea pipelines when offshore commissioning is delayed</w:t>
        </w:r>
      </w:hyperlink>
      <w:r w:rsidRPr="002868FC">
        <w:rPr>
          <w:sz w:val="24"/>
          <w:szCs w:val="24"/>
        </w:rPr>
        <w:t>.</w:t>
      </w:r>
    </w:p>
    <w:p w14:paraId="2060A5E9" w14:textId="77777777" w:rsidR="00ED44D0" w:rsidRPr="002868FC" w:rsidRDefault="00ED44D0" w:rsidP="002868FC">
      <w:pPr>
        <w:tabs>
          <w:tab w:val="left" w:pos="2385"/>
        </w:tabs>
        <w:spacing w:line="360" w:lineRule="auto"/>
        <w:jc w:val="both"/>
        <w:rPr>
          <w:b/>
          <w:bCs/>
          <w:i/>
          <w:iCs/>
          <w:sz w:val="18"/>
          <w:szCs w:val="18"/>
        </w:rPr>
      </w:pPr>
    </w:p>
    <w:p w14:paraId="4B0D6A82" w14:textId="3B7F5EB2" w:rsidR="00ED44D0" w:rsidRPr="002868FC" w:rsidRDefault="00ED44D0" w:rsidP="002868FC">
      <w:pPr>
        <w:tabs>
          <w:tab w:val="left" w:pos="2385"/>
        </w:tabs>
        <w:spacing w:line="360" w:lineRule="auto"/>
        <w:jc w:val="both"/>
        <w:rPr>
          <w:b/>
          <w:bCs/>
          <w:i/>
          <w:iCs/>
          <w:sz w:val="18"/>
          <w:szCs w:val="18"/>
        </w:rPr>
      </w:pPr>
      <w:r w:rsidRPr="002868FC">
        <w:rPr>
          <w:b/>
          <w:bCs/>
          <w:i/>
          <w:iCs/>
          <w:sz w:val="18"/>
          <w:szCs w:val="18"/>
        </w:rPr>
        <w:t>Keywords: corrosion solutions, subsea corrosion solution, offshore market, oil and gas market fluctuations, subsea pipeline preservation, nitrogen purge, alternatives to nitrogen purge, Vapor phase Corrosion Inhibitors, corrosion inhibitors, VpCI detection kit</w:t>
      </w:r>
    </w:p>
    <w:p w14:paraId="24317264" w14:textId="4582B33F" w:rsidR="00C241B8" w:rsidRPr="0066284D" w:rsidRDefault="00811FBA" w:rsidP="00E32C07">
      <w:pPr>
        <w:spacing w:before="100" w:beforeAutospacing="1"/>
        <w:jc w:val="both"/>
        <w:rPr>
          <w:b/>
          <w:sz w:val="24"/>
        </w:rPr>
      </w:pPr>
      <w:r>
        <w:rPr>
          <w:sz w:val="24"/>
        </w:rPr>
        <w:t>N</w:t>
      </w:r>
      <w:r w:rsidR="00721FDD">
        <w:rPr>
          <w:sz w:val="24"/>
        </w:rPr>
        <w:t>eed</w:t>
      </w:r>
      <w:r w:rsidR="00721FDD">
        <w:rPr>
          <w:spacing w:val="-4"/>
          <w:sz w:val="24"/>
        </w:rPr>
        <w:t xml:space="preserve"> </w:t>
      </w:r>
      <w:r w:rsidR="00721FDD">
        <w:rPr>
          <w:sz w:val="24"/>
        </w:rPr>
        <w:t>a High-Resolution</w:t>
      </w:r>
      <w:r w:rsidR="00721FDD">
        <w:rPr>
          <w:spacing w:val="-2"/>
          <w:sz w:val="24"/>
        </w:rPr>
        <w:t xml:space="preserve"> </w:t>
      </w:r>
      <w:r w:rsidR="00721FDD">
        <w:rPr>
          <w:sz w:val="24"/>
        </w:rPr>
        <w:t>Photo?</w:t>
      </w:r>
      <w:r w:rsidR="00721FDD">
        <w:rPr>
          <w:spacing w:val="57"/>
          <w:sz w:val="24"/>
        </w:rPr>
        <w:t xml:space="preserve"> </w:t>
      </w:r>
      <w:r w:rsidR="00721FDD">
        <w:rPr>
          <w:sz w:val="24"/>
        </w:rPr>
        <w:t>Visit:</w:t>
      </w:r>
      <w:r w:rsidR="00CA2BA2">
        <w:rPr>
          <w:sz w:val="24"/>
        </w:rPr>
        <w:t xml:space="preserve"> </w:t>
      </w:r>
      <w:hyperlink r:id="rId17">
        <w:r w:rsidR="00721FDD">
          <w:rPr>
            <w:b/>
            <w:color w:val="0000FF"/>
            <w:spacing w:val="-2"/>
            <w:sz w:val="24"/>
            <w:u w:val="single" w:color="0000FF"/>
          </w:rPr>
          <w:t>www.cortecadvertising.com</w:t>
        </w:r>
      </w:hyperlink>
      <w:r w:rsidR="0066284D" w:rsidRPr="00F94B87">
        <w:rPr>
          <w:b/>
          <w:spacing w:val="-2"/>
          <w:sz w:val="24"/>
        </w:rPr>
        <w:t>.</w:t>
      </w:r>
    </w:p>
    <w:p w14:paraId="17FE30E2" w14:textId="7BA68F82" w:rsidR="00C241B8" w:rsidRDefault="00721FDD" w:rsidP="00E32C07">
      <w:pPr>
        <w:spacing w:before="100" w:beforeAutospacing="1"/>
        <w:jc w:val="both"/>
        <w:rPr>
          <w:sz w:val="20"/>
        </w:rPr>
      </w:pPr>
      <w:r>
        <w:rPr>
          <w:sz w:val="20"/>
        </w:rPr>
        <w:t>Cortec</w:t>
      </w:r>
      <w:r>
        <w:rPr>
          <w:sz w:val="20"/>
          <w:vertAlign w:val="superscript"/>
        </w:rPr>
        <w:t>®</w:t>
      </w:r>
      <w:r>
        <w:rPr>
          <w:sz w:val="20"/>
        </w:rPr>
        <w:t xml:space="preserve"> Corporation is the global leader in innovative, environmentally responsible VpCI</w:t>
      </w:r>
      <w:r>
        <w:rPr>
          <w:sz w:val="20"/>
          <w:vertAlign w:val="superscript"/>
        </w:rPr>
        <w:t>®</w:t>
      </w:r>
      <w:r>
        <w:rPr>
          <w:sz w:val="20"/>
        </w:rPr>
        <w:t xml:space="preserve"> and MCI</w:t>
      </w:r>
      <w:r>
        <w:rPr>
          <w:sz w:val="20"/>
          <w:vertAlign w:val="superscript"/>
        </w:rPr>
        <w:t>®</w:t>
      </w:r>
      <w:r>
        <w:rPr>
          <w:sz w:val="20"/>
        </w:rPr>
        <w:t xml:space="preserve"> corrosion control technologies</w:t>
      </w:r>
      <w:r>
        <w:rPr>
          <w:spacing w:val="-3"/>
          <w:sz w:val="20"/>
        </w:rPr>
        <w:t xml:space="preserve"> </w:t>
      </w:r>
      <w:r>
        <w:rPr>
          <w:sz w:val="20"/>
        </w:rPr>
        <w:t>for</w:t>
      </w:r>
      <w:r>
        <w:rPr>
          <w:spacing w:val="-1"/>
          <w:sz w:val="20"/>
        </w:rPr>
        <w:t xml:space="preserve"> </w:t>
      </w:r>
      <w:r w:rsidR="00A46F15">
        <w:rPr>
          <w:sz w:val="20"/>
        </w:rPr>
        <w:t>p</w:t>
      </w:r>
      <w:r>
        <w:rPr>
          <w:sz w:val="20"/>
        </w:rPr>
        <w:t>ackaging,</w:t>
      </w:r>
      <w:r>
        <w:rPr>
          <w:spacing w:val="-4"/>
          <w:sz w:val="20"/>
        </w:rPr>
        <w:t xml:space="preserve"> </w:t>
      </w:r>
      <w:r w:rsidR="00A46F15">
        <w:rPr>
          <w:sz w:val="20"/>
        </w:rPr>
        <w:t>m</w:t>
      </w:r>
      <w:r>
        <w:rPr>
          <w:sz w:val="20"/>
        </w:rPr>
        <w:t>etalworking,</w:t>
      </w:r>
      <w:r>
        <w:rPr>
          <w:spacing w:val="-1"/>
          <w:sz w:val="20"/>
        </w:rPr>
        <w:t xml:space="preserve"> </w:t>
      </w:r>
      <w:r w:rsidR="00A46F15">
        <w:rPr>
          <w:sz w:val="20"/>
        </w:rPr>
        <w:t>c</w:t>
      </w:r>
      <w:r>
        <w:rPr>
          <w:sz w:val="20"/>
        </w:rPr>
        <w:t>onstruction,</w:t>
      </w:r>
      <w:r>
        <w:rPr>
          <w:spacing w:val="-4"/>
          <w:sz w:val="20"/>
        </w:rPr>
        <w:t xml:space="preserve"> </w:t>
      </w:r>
      <w:r w:rsidR="00A46F15">
        <w:rPr>
          <w:sz w:val="20"/>
        </w:rPr>
        <w:t>e</w:t>
      </w:r>
      <w:r>
        <w:rPr>
          <w:sz w:val="20"/>
        </w:rPr>
        <w:t>lectronics,</w:t>
      </w:r>
      <w:r>
        <w:rPr>
          <w:spacing w:val="-1"/>
          <w:sz w:val="20"/>
        </w:rPr>
        <w:t xml:space="preserve"> </w:t>
      </w:r>
      <w:r w:rsidR="00A46F15">
        <w:rPr>
          <w:sz w:val="20"/>
        </w:rPr>
        <w:t>w</w:t>
      </w:r>
      <w:r>
        <w:rPr>
          <w:sz w:val="20"/>
        </w:rPr>
        <w:t>ater</w:t>
      </w:r>
      <w:r>
        <w:rPr>
          <w:spacing w:val="-1"/>
          <w:sz w:val="20"/>
        </w:rPr>
        <w:t xml:space="preserve"> </w:t>
      </w:r>
      <w:r w:rsidR="00A46F15">
        <w:rPr>
          <w:sz w:val="20"/>
        </w:rPr>
        <w:t>t</w:t>
      </w:r>
      <w:r>
        <w:rPr>
          <w:sz w:val="20"/>
        </w:rPr>
        <w:t>reatment,</w:t>
      </w:r>
      <w:r>
        <w:rPr>
          <w:spacing w:val="-1"/>
          <w:sz w:val="20"/>
        </w:rPr>
        <w:t xml:space="preserve"> </w:t>
      </w:r>
      <w:r w:rsidR="00A46F15">
        <w:rPr>
          <w:sz w:val="20"/>
        </w:rPr>
        <w:t>o</w:t>
      </w:r>
      <w:r>
        <w:rPr>
          <w:sz w:val="20"/>
        </w:rPr>
        <w:t>il</w:t>
      </w:r>
      <w:r>
        <w:rPr>
          <w:spacing w:val="-2"/>
          <w:sz w:val="20"/>
        </w:rPr>
        <w:t xml:space="preserve"> </w:t>
      </w:r>
      <w:r>
        <w:rPr>
          <w:sz w:val="20"/>
        </w:rPr>
        <w:t>&amp;</w:t>
      </w:r>
      <w:r>
        <w:rPr>
          <w:spacing w:val="-1"/>
          <w:sz w:val="20"/>
        </w:rPr>
        <w:t xml:space="preserve"> </w:t>
      </w:r>
      <w:r w:rsidR="00A46F15">
        <w:rPr>
          <w:sz w:val="20"/>
        </w:rPr>
        <w:t>g</w:t>
      </w:r>
      <w:r>
        <w:rPr>
          <w:sz w:val="20"/>
        </w:rPr>
        <w:t>as,</w:t>
      </w:r>
      <w:r>
        <w:rPr>
          <w:spacing w:val="-1"/>
          <w:sz w:val="20"/>
        </w:rPr>
        <w:t xml:space="preserve"> </w:t>
      </w:r>
      <w:r>
        <w:rPr>
          <w:sz w:val="20"/>
        </w:rPr>
        <w:t>and</w:t>
      </w:r>
      <w:r>
        <w:rPr>
          <w:spacing w:val="-1"/>
          <w:sz w:val="20"/>
        </w:rPr>
        <w:t xml:space="preserve"> </w:t>
      </w:r>
      <w:r>
        <w:rPr>
          <w:sz w:val="20"/>
        </w:rPr>
        <w:t>other</w:t>
      </w:r>
      <w:r>
        <w:rPr>
          <w:spacing w:val="-1"/>
          <w:sz w:val="20"/>
        </w:rPr>
        <w:t xml:space="preserve"> </w:t>
      </w:r>
      <w:r>
        <w:rPr>
          <w:sz w:val="20"/>
        </w:rPr>
        <w:t>industries.</w:t>
      </w:r>
      <w:r>
        <w:rPr>
          <w:spacing w:val="40"/>
          <w:sz w:val="20"/>
        </w:rPr>
        <w:t xml:space="preserve"> </w:t>
      </w:r>
      <w:r>
        <w:rPr>
          <w:sz w:val="20"/>
        </w:rPr>
        <w:t>Our relentless dedication to sustainability, quality, service, and support is unmatched in the industry. Headquartered in St. Paul, Minnesota, Cortec</w:t>
      </w:r>
      <w:r>
        <w:rPr>
          <w:sz w:val="20"/>
          <w:vertAlign w:val="superscript"/>
        </w:rPr>
        <w:t>®</w:t>
      </w:r>
      <w:r>
        <w:rPr>
          <w:sz w:val="20"/>
        </w:rPr>
        <w:t xml:space="preserve"> manufactures over 400 products distributed worldwide.</w:t>
      </w:r>
      <w:r>
        <w:rPr>
          <w:spacing w:val="40"/>
          <w:sz w:val="20"/>
        </w:rPr>
        <w:t xml:space="preserve"> </w:t>
      </w:r>
      <w:r>
        <w:rPr>
          <w:sz w:val="20"/>
        </w:rPr>
        <w:t>ISO 9001:2015, ISO 14001:2015, &amp; ISO/IEC 17025:2017 certified. Cortec</w:t>
      </w:r>
      <w:r>
        <w:rPr>
          <w:sz w:val="20"/>
          <w:vertAlign w:val="superscript"/>
        </w:rPr>
        <w:t>®</w:t>
      </w:r>
      <w:r>
        <w:rPr>
          <w:sz w:val="20"/>
        </w:rPr>
        <w:t xml:space="preserve"> </w:t>
      </w:r>
      <w:r w:rsidR="00A46F15">
        <w:rPr>
          <w:sz w:val="20"/>
        </w:rPr>
        <w:t>w</w:t>
      </w:r>
      <w:r>
        <w:rPr>
          <w:sz w:val="20"/>
        </w:rPr>
        <w:t xml:space="preserve">ebsite: </w:t>
      </w:r>
      <w:hyperlink r:id="rId18">
        <w:r>
          <w:rPr>
            <w:color w:val="2333F0"/>
            <w:sz w:val="20"/>
            <w:u w:val="thick" w:color="2333F0"/>
          </w:rPr>
          <w:t>http://www.cortecvci.com</w:t>
        </w:r>
      </w:hyperlink>
      <w:r w:rsidR="00FD02B8" w:rsidRPr="0066284D">
        <w:rPr>
          <w:color w:val="2333F0"/>
          <w:sz w:val="20"/>
        </w:rPr>
        <w:t>.</w:t>
      </w:r>
      <w:r w:rsidR="00FD02B8">
        <w:rPr>
          <w:color w:val="2333F0"/>
          <w:sz w:val="20"/>
        </w:rPr>
        <w:t xml:space="preserve"> </w:t>
      </w:r>
      <w:r>
        <w:rPr>
          <w:sz w:val="20"/>
        </w:rPr>
        <w:t>Phone: 1-800-426-7832</w:t>
      </w:r>
      <w:r w:rsidR="00FD02B8">
        <w:rPr>
          <w:sz w:val="20"/>
        </w:rPr>
        <w:t>.</w:t>
      </w:r>
      <w:r>
        <w:rPr>
          <w:spacing w:val="80"/>
          <w:sz w:val="20"/>
        </w:rPr>
        <w:t xml:space="preserve"> </w:t>
      </w:r>
      <w:r>
        <w:rPr>
          <w:sz w:val="20"/>
        </w:rPr>
        <w:t>FAX: (651) 429-1122</w:t>
      </w:r>
      <w:r w:rsidR="00FD02B8">
        <w:rPr>
          <w:sz w:val="20"/>
        </w:rPr>
        <w:t>.</w:t>
      </w:r>
    </w:p>
    <w:sectPr w:rsidR="00C241B8" w:rsidSect="00F66713">
      <w:type w:val="continuous"/>
      <w:pgSz w:w="12240" w:h="15840"/>
      <w:pgMar w:top="576" w:right="720" w:bottom="99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Open Sans">
    <w:altName w:val="Arial Nova Cond"/>
    <w:charset w:val="00"/>
    <w:family w:val="swiss"/>
    <w:pitch w:val="variable"/>
    <w:sig w:usb0="E00002EF" w:usb1="4000205B" w:usb2="00000028" w:usb3="00000000" w:csb0="0000019F" w:csb1="00000000"/>
  </w:font>
  <w:font w:name="Book Antiqua">
    <w:panose1 w:val="02040602050305030304"/>
    <w:charset w:val="EE"/>
    <w:family w:val="roman"/>
    <w:pitch w:val="variable"/>
    <w:sig w:usb0="00000287" w:usb1="000000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B2FAF"/>
    <w:multiLevelType w:val="hybridMultilevel"/>
    <w:tmpl w:val="24ECC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D336F"/>
    <w:multiLevelType w:val="hybridMultilevel"/>
    <w:tmpl w:val="F0B84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414E8F"/>
    <w:multiLevelType w:val="hybridMultilevel"/>
    <w:tmpl w:val="9FE6C342"/>
    <w:lvl w:ilvl="0" w:tplc="534E61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5C1690"/>
    <w:multiLevelType w:val="hybridMultilevel"/>
    <w:tmpl w:val="A96C4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62C74"/>
    <w:multiLevelType w:val="hybridMultilevel"/>
    <w:tmpl w:val="2250DA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7400AD"/>
    <w:multiLevelType w:val="hybridMultilevel"/>
    <w:tmpl w:val="A2401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0B20D9"/>
    <w:multiLevelType w:val="hybridMultilevel"/>
    <w:tmpl w:val="6A8A92A0"/>
    <w:lvl w:ilvl="0" w:tplc="AEF696AC">
      <w:start w:val="1"/>
      <w:numFmt w:val="bullet"/>
      <w:lvlText w:val=""/>
      <w:lvlJc w:val="left"/>
      <w:pPr>
        <w:ind w:left="720" w:hanging="360"/>
      </w:pPr>
      <w:rPr>
        <w:rFonts w:ascii="Symbol" w:hAnsi="Symbol" w:hint="default"/>
      </w:rPr>
    </w:lvl>
    <w:lvl w:ilvl="1" w:tplc="DEA01F3C">
      <w:start w:val="1"/>
      <w:numFmt w:val="bullet"/>
      <w:lvlText w:val="o"/>
      <w:lvlJc w:val="left"/>
      <w:pPr>
        <w:ind w:left="1440" w:hanging="360"/>
      </w:pPr>
      <w:rPr>
        <w:rFonts w:ascii="Courier New" w:hAnsi="Courier New" w:hint="default"/>
      </w:rPr>
    </w:lvl>
    <w:lvl w:ilvl="2" w:tplc="A4F6E2FE">
      <w:start w:val="1"/>
      <w:numFmt w:val="bullet"/>
      <w:lvlText w:val=""/>
      <w:lvlJc w:val="left"/>
      <w:pPr>
        <w:ind w:left="2160" w:hanging="360"/>
      </w:pPr>
      <w:rPr>
        <w:rFonts w:ascii="Wingdings" w:hAnsi="Wingdings" w:hint="default"/>
      </w:rPr>
    </w:lvl>
    <w:lvl w:ilvl="3" w:tplc="C484887E">
      <w:start w:val="1"/>
      <w:numFmt w:val="bullet"/>
      <w:lvlText w:val=""/>
      <w:lvlJc w:val="left"/>
      <w:pPr>
        <w:ind w:left="2880" w:hanging="360"/>
      </w:pPr>
      <w:rPr>
        <w:rFonts w:ascii="Symbol" w:hAnsi="Symbol" w:hint="default"/>
      </w:rPr>
    </w:lvl>
    <w:lvl w:ilvl="4" w:tplc="D514E5AE">
      <w:start w:val="1"/>
      <w:numFmt w:val="bullet"/>
      <w:lvlText w:val="o"/>
      <w:lvlJc w:val="left"/>
      <w:pPr>
        <w:ind w:left="3600" w:hanging="360"/>
      </w:pPr>
      <w:rPr>
        <w:rFonts w:ascii="Courier New" w:hAnsi="Courier New" w:hint="default"/>
      </w:rPr>
    </w:lvl>
    <w:lvl w:ilvl="5" w:tplc="ED487702">
      <w:start w:val="1"/>
      <w:numFmt w:val="bullet"/>
      <w:lvlText w:val=""/>
      <w:lvlJc w:val="left"/>
      <w:pPr>
        <w:ind w:left="4320" w:hanging="360"/>
      </w:pPr>
      <w:rPr>
        <w:rFonts w:ascii="Wingdings" w:hAnsi="Wingdings" w:hint="default"/>
      </w:rPr>
    </w:lvl>
    <w:lvl w:ilvl="6" w:tplc="0186B304">
      <w:start w:val="1"/>
      <w:numFmt w:val="bullet"/>
      <w:lvlText w:val=""/>
      <w:lvlJc w:val="left"/>
      <w:pPr>
        <w:ind w:left="5040" w:hanging="360"/>
      </w:pPr>
      <w:rPr>
        <w:rFonts w:ascii="Symbol" w:hAnsi="Symbol" w:hint="default"/>
      </w:rPr>
    </w:lvl>
    <w:lvl w:ilvl="7" w:tplc="2BC22802">
      <w:start w:val="1"/>
      <w:numFmt w:val="bullet"/>
      <w:lvlText w:val="o"/>
      <w:lvlJc w:val="left"/>
      <w:pPr>
        <w:ind w:left="5760" w:hanging="360"/>
      </w:pPr>
      <w:rPr>
        <w:rFonts w:ascii="Courier New" w:hAnsi="Courier New" w:hint="default"/>
      </w:rPr>
    </w:lvl>
    <w:lvl w:ilvl="8" w:tplc="449ED34A">
      <w:start w:val="1"/>
      <w:numFmt w:val="bullet"/>
      <w:lvlText w:val=""/>
      <w:lvlJc w:val="left"/>
      <w:pPr>
        <w:ind w:left="6480" w:hanging="360"/>
      </w:pPr>
      <w:rPr>
        <w:rFonts w:ascii="Wingdings" w:hAnsi="Wingdings" w:hint="default"/>
      </w:rPr>
    </w:lvl>
  </w:abstractNum>
  <w:abstractNum w:abstractNumId="7" w15:restartNumberingAfterBreak="0">
    <w:nsid w:val="0D5E7C77"/>
    <w:multiLevelType w:val="hybridMultilevel"/>
    <w:tmpl w:val="C562ED60"/>
    <w:lvl w:ilvl="0" w:tplc="8F8086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D676841"/>
    <w:multiLevelType w:val="hybridMultilevel"/>
    <w:tmpl w:val="CB1EE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804821"/>
    <w:multiLevelType w:val="hybridMultilevel"/>
    <w:tmpl w:val="DC843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CC5A4D"/>
    <w:multiLevelType w:val="hybridMultilevel"/>
    <w:tmpl w:val="FE0CA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CF7787"/>
    <w:multiLevelType w:val="hybridMultilevel"/>
    <w:tmpl w:val="2FDA2016"/>
    <w:lvl w:ilvl="0" w:tplc="5CCECAD6">
      <w:start w:val="1"/>
      <w:numFmt w:val="decimal"/>
      <w:lvlText w:val="%1."/>
      <w:lvlJc w:val="left"/>
      <w:pPr>
        <w:ind w:left="720" w:hanging="360"/>
      </w:pPr>
    </w:lvl>
    <w:lvl w:ilvl="1" w:tplc="FDE4A2B8">
      <w:start w:val="1"/>
      <w:numFmt w:val="lowerLetter"/>
      <w:lvlText w:val="%2."/>
      <w:lvlJc w:val="left"/>
      <w:pPr>
        <w:ind w:left="1440" w:hanging="360"/>
      </w:pPr>
    </w:lvl>
    <w:lvl w:ilvl="2" w:tplc="F7EEF2F4">
      <w:start w:val="1"/>
      <w:numFmt w:val="lowerRoman"/>
      <w:lvlText w:val="%3."/>
      <w:lvlJc w:val="right"/>
      <w:pPr>
        <w:ind w:left="2160" w:hanging="180"/>
      </w:pPr>
    </w:lvl>
    <w:lvl w:ilvl="3" w:tplc="38848BCA">
      <w:start w:val="1"/>
      <w:numFmt w:val="decimal"/>
      <w:lvlText w:val="%4."/>
      <w:lvlJc w:val="left"/>
      <w:pPr>
        <w:ind w:left="2880" w:hanging="360"/>
      </w:pPr>
    </w:lvl>
    <w:lvl w:ilvl="4" w:tplc="60A6168A">
      <w:start w:val="1"/>
      <w:numFmt w:val="lowerLetter"/>
      <w:lvlText w:val="%5."/>
      <w:lvlJc w:val="left"/>
      <w:pPr>
        <w:ind w:left="3600" w:hanging="360"/>
      </w:pPr>
    </w:lvl>
    <w:lvl w:ilvl="5" w:tplc="EF9846BC">
      <w:start w:val="1"/>
      <w:numFmt w:val="lowerRoman"/>
      <w:lvlText w:val="%6."/>
      <w:lvlJc w:val="right"/>
      <w:pPr>
        <w:ind w:left="4320" w:hanging="180"/>
      </w:pPr>
    </w:lvl>
    <w:lvl w:ilvl="6" w:tplc="ECF03A9C">
      <w:start w:val="1"/>
      <w:numFmt w:val="decimal"/>
      <w:lvlText w:val="%7."/>
      <w:lvlJc w:val="left"/>
      <w:pPr>
        <w:ind w:left="5040" w:hanging="360"/>
      </w:pPr>
    </w:lvl>
    <w:lvl w:ilvl="7" w:tplc="06903170">
      <w:start w:val="1"/>
      <w:numFmt w:val="lowerLetter"/>
      <w:lvlText w:val="%8."/>
      <w:lvlJc w:val="left"/>
      <w:pPr>
        <w:ind w:left="5760" w:hanging="360"/>
      </w:pPr>
    </w:lvl>
    <w:lvl w:ilvl="8" w:tplc="05CE2A70">
      <w:start w:val="1"/>
      <w:numFmt w:val="lowerRoman"/>
      <w:lvlText w:val="%9."/>
      <w:lvlJc w:val="right"/>
      <w:pPr>
        <w:ind w:left="6480" w:hanging="180"/>
      </w:pPr>
    </w:lvl>
  </w:abstractNum>
  <w:abstractNum w:abstractNumId="12" w15:restartNumberingAfterBreak="0">
    <w:nsid w:val="16545259"/>
    <w:multiLevelType w:val="hybridMultilevel"/>
    <w:tmpl w:val="C03E7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3201CA"/>
    <w:multiLevelType w:val="hybridMultilevel"/>
    <w:tmpl w:val="0870239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DC4130C"/>
    <w:multiLevelType w:val="hybridMultilevel"/>
    <w:tmpl w:val="AE6E2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235F09"/>
    <w:multiLevelType w:val="hybridMultilevel"/>
    <w:tmpl w:val="4CA83304"/>
    <w:lvl w:ilvl="0" w:tplc="8B5CD3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E3172D1"/>
    <w:multiLevelType w:val="hybridMultilevel"/>
    <w:tmpl w:val="23A022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98112D"/>
    <w:multiLevelType w:val="hybridMultilevel"/>
    <w:tmpl w:val="285C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D220AC"/>
    <w:multiLevelType w:val="hybridMultilevel"/>
    <w:tmpl w:val="22068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813E19"/>
    <w:multiLevelType w:val="hybridMultilevel"/>
    <w:tmpl w:val="12F0F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7C5169"/>
    <w:multiLevelType w:val="hybridMultilevel"/>
    <w:tmpl w:val="C4300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3E2947"/>
    <w:multiLevelType w:val="hybridMultilevel"/>
    <w:tmpl w:val="95B84422"/>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 w15:restartNumberingAfterBreak="0">
    <w:nsid w:val="40AC55B5"/>
    <w:multiLevelType w:val="hybridMultilevel"/>
    <w:tmpl w:val="916A2B32"/>
    <w:lvl w:ilvl="0" w:tplc="67523170">
      <w:numFmt w:val="bullet"/>
      <w:lvlText w:val=""/>
      <w:lvlJc w:val="left"/>
      <w:pPr>
        <w:ind w:left="871" w:hanging="360"/>
      </w:pPr>
      <w:rPr>
        <w:rFonts w:ascii="Symbol" w:eastAsia="Symbol" w:hAnsi="Symbol" w:cs="Symbol" w:hint="default"/>
        <w:b w:val="0"/>
        <w:bCs w:val="0"/>
        <w:i w:val="0"/>
        <w:iCs w:val="0"/>
        <w:w w:val="100"/>
        <w:sz w:val="24"/>
        <w:szCs w:val="24"/>
        <w:lang w:val="en-US" w:eastAsia="en-US" w:bidi="ar-SA"/>
      </w:rPr>
    </w:lvl>
    <w:lvl w:ilvl="1" w:tplc="EA26754E">
      <w:numFmt w:val="bullet"/>
      <w:lvlText w:val="•"/>
      <w:lvlJc w:val="left"/>
      <w:pPr>
        <w:ind w:left="1844" w:hanging="360"/>
      </w:pPr>
      <w:rPr>
        <w:rFonts w:hint="default"/>
        <w:lang w:val="en-US" w:eastAsia="en-US" w:bidi="ar-SA"/>
      </w:rPr>
    </w:lvl>
    <w:lvl w:ilvl="2" w:tplc="B4DAA9F0">
      <w:numFmt w:val="bullet"/>
      <w:lvlText w:val="•"/>
      <w:lvlJc w:val="left"/>
      <w:pPr>
        <w:ind w:left="2808" w:hanging="360"/>
      </w:pPr>
      <w:rPr>
        <w:rFonts w:hint="default"/>
        <w:lang w:val="en-US" w:eastAsia="en-US" w:bidi="ar-SA"/>
      </w:rPr>
    </w:lvl>
    <w:lvl w:ilvl="3" w:tplc="DC0692F0">
      <w:numFmt w:val="bullet"/>
      <w:lvlText w:val="•"/>
      <w:lvlJc w:val="left"/>
      <w:pPr>
        <w:ind w:left="3772" w:hanging="360"/>
      </w:pPr>
      <w:rPr>
        <w:rFonts w:hint="default"/>
        <w:lang w:val="en-US" w:eastAsia="en-US" w:bidi="ar-SA"/>
      </w:rPr>
    </w:lvl>
    <w:lvl w:ilvl="4" w:tplc="74A69210">
      <w:numFmt w:val="bullet"/>
      <w:lvlText w:val="•"/>
      <w:lvlJc w:val="left"/>
      <w:pPr>
        <w:ind w:left="4736" w:hanging="360"/>
      </w:pPr>
      <w:rPr>
        <w:rFonts w:hint="default"/>
        <w:lang w:val="en-US" w:eastAsia="en-US" w:bidi="ar-SA"/>
      </w:rPr>
    </w:lvl>
    <w:lvl w:ilvl="5" w:tplc="D9983E52">
      <w:numFmt w:val="bullet"/>
      <w:lvlText w:val="•"/>
      <w:lvlJc w:val="left"/>
      <w:pPr>
        <w:ind w:left="5700" w:hanging="360"/>
      </w:pPr>
      <w:rPr>
        <w:rFonts w:hint="default"/>
        <w:lang w:val="en-US" w:eastAsia="en-US" w:bidi="ar-SA"/>
      </w:rPr>
    </w:lvl>
    <w:lvl w:ilvl="6" w:tplc="2A464306">
      <w:numFmt w:val="bullet"/>
      <w:lvlText w:val="•"/>
      <w:lvlJc w:val="left"/>
      <w:pPr>
        <w:ind w:left="6664" w:hanging="360"/>
      </w:pPr>
      <w:rPr>
        <w:rFonts w:hint="default"/>
        <w:lang w:val="en-US" w:eastAsia="en-US" w:bidi="ar-SA"/>
      </w:rPr>
    </w:lvl>
    <w:lvl w:ilvl="7" w:tplc="92B0E3D4">
      <w:numFmt w:val="bullet"/>
      <w:lvlText w:val="•"/>
      <w:lvlJc w:val="left"/>
      <w:pPr>
        <w:ind w:left="7628" w:hanging="360"/>
      </w:pPr>
      <w:rPr>
        <w:rFonts w:hint="default"/>
        <w:lang w:val="en-US" w:eastAsia="en-US" w:bidi="ar-SA"/>
      </w:rPr>
    </w:lvl>
    <w:lvl w:ilvl="8" w:tplc="FF02B44A">
      <w:numFmt w:val="bullet"/>
      <w:lvlText w:val="•"/>
      <w:lvlJc w:val="left"/>
      <w:pPr>
        <w:ind w:left="8592" w:hanging="360"/>
      </w:pPr>
      <w:rPr>
        <w:rFonts w:hint="default"/>
        <w:lang w:val="en-US" w:eastAsia="en-US" w:bidi="ar-SA"/>
      </w:rPr>
    </w:lvl>
  </w:abstractNum>
  <w:abstractNum w:abstractNumId="23" w15:restartNumberingAfterBreak="0">
    <w:nsid w:val="41C0341B"/>
    <w:multiLevelType w:val="hybridMultilevel"/>
    <w:tmpl w:val="3424D6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C134CE"/>
    <w:multiLevelType w:val="hybridMultilevel"/>
    <w:tmpl w:val="82D0C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7F2FE6"/>
    <w:multiLevelType w:val="hybridMultilevel"/>
    <w:tmpl w:val="7F50A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483CB4"/>
    <w:multiLevelType w:val="hybridMultilevel"/>
    <w:tmpl w:val="FC501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9815D8"/>
    <w:multiLevelType w:val="hybridMultilevel"/>
    <w:tmpl w:val="52D2D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C32D2D"/>
    <w:multiLevelType w:val="hybridMultilevel"/>
    <w:tmpl w:val="FDB49586"/>
    <w:lvl w:ilvl="0" w:tplc="E6D064A2">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F50592"/>
    <w:multiLevelType w:val="hybridMultilevel"/>
    <w:tmpl w:val="33C68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F15770"/>
    <w:multiLevelType w:val="hybridMultilevel"/>
    <w:tmpl w:val="57C0B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E4295A"/>
    <w:multiLevelType w:val="hybridMultilevel"/>
    <w:tmpl w:val="3920F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483A67"/>
    <w:multiLevelType w:val="hybridMultilevel"/>
    <w:tmpl w:val="7B84F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C64B26"/>
    <w:multiLevelType w:val="hybridMultilevel"/>
    <w:tmpl w:val="5A2CC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83001B"/>
    <w:multiLevelType w:val="hybridMultilevel"/>
    <w:tmpl w:val="9586A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B80337"/>
    <w:multiLevelType w:val="hybridMultilevel"/>
    <w:tmpl w:val="DE0402D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6DB05524"/>
    <w:multiLevelType w:val="hybridMultilevel"/>
    <w:tmpl w:val="0A9ED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6B26FD"/>
    <w:multiLevelType w:val="hybridMultilevel"/>
    <w:tmpl w:val="E744DD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74787D77"/>
    <w:multiLevelType w:val="hybridMultilevel"/>
    <w:tmpl w:val="1BA88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1A1249"/>
    <w:multiLevelType w:val="hybridMultilevel"/>
    <w:tmpl w:val="566A9B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FB1A64"/>
    <w:multiLevelType w:val="hybridMultilevel"/>
    <w:tmpl w:val="657A6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AC7D76"/>
    <w:multiLevelType w:val="hybridMultilevel"/>
    <w:tmpl w:val="F1F6F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7391252">
    <w:abstractNumId w:val="22"/>
  </w:num>
  <w:num w:numId="2" w16cid:durableId="1128474130">
    <w:abstractNumId w:val="8"/>
  </w:num>
  <w:num w:numId="3" w16cid:durableId="775249251">
    <w:abstractNumId w:val="29"/>
  </w:num>
  <w:num w:numId="4" w16cid:durableId="431512942">
    <w:abstractNumId w:val="14"/>
  </w:num>
  <w:num w:numId="5" w16cid:durableId="110514091">
    <w:abstractNumId w:val="40"/>
  </w:num>
  <w:num w:numId="6" w16cid:durableId="417487476">
    <w:abstractNumId w:val="33"/>
  </w:num>
  <w:num w:numId="7" w16cid:durableId="1256283345">
    <w:abstractNumId w:val="3"/>
  </w:num>
  <w:num w:numId="8" w16cid:durableId="1656375266">
    <w:abstractNumId w:val="20"/>
  </w:num>
  <w:num w:numId="9" w16cid:durableId="220869605">
    <w:abstractNumId w:val="4"/>
  </w:num>
  <w:num w:numId="10" w16cid:durableId="1007826774">
    <w:abstractNumId w:val="1"/>
  </w:num>
  <w:num w:numId="11" w16cid:durableId="763962471">
    <w:abstractNumId w:val="24"/>
  </w:num>
  <w:num w:numId="12" w16cid:durableId="1283805813">
    <w:abstractNumId w:val="13"/>
  </w:num>
  <w:num w:numId="13" w16cid:durableId="1042511926">
    <w:abstractNumId w:val="0"/>
  </w:num>
  <w:num w:numId="14" w16cid:durableId="1371761971">
    <w:abstractNumId w:val="7"/>
  </w:num>
  <w:num w:numId="15" w16cid:durableId="2102214094">
    <w:abstractNumId w:val="21"/>
  </w:num>
  <w:num w:numId="16" w16cid:durableId="731196375">
    <w:abstractNumId w:val="10"/>
  </w:num>
  <w:num w:numId="17" w16cid:durableId="1313632065">
    <w:abstractNumId w:val="2"/>
  </w:num>
  <w:num w:numId="18" w16cid:durableId="1858957439">
    <w:abstractNumId w:val="17"/>
  </w:num>
  <w:num w:numId="19" w16cid:durableId="177935792">
    <w:abstractNumId w:val="15"/>
  </w:num>
  <w:num w:numId="20" w16cid:durableId="476995963">
    <w:abstractNumId w:val="26"/>
  </w:num>
  <w:num w:numId="21" w16cid:durableId="1153565570">
    <w:abstractNumId w:val="30"/>
  </w:num>
  <w:num w:numId="22" w16cid:durableId="1024357863">
    <w:abstractNumId w:val="28"/>
  </w:num>
  <w:num w:numId="23" w16cid:durableId="742797843">
    <w:abstractNumId w:val="5"/>
  </w:num>
  <w:num w:numId="24" w16cid:durableId="29692389">
    <w:abstractNumId w:val="34"/>
  </w:num>
  <w:num w:numId="25" w16cid:durableId="1103914024">
    <w:abstractNumId w:val="16"/>
  </w:num>
  <w:num w:numId="26" w16cid:durableId="445807441">
    <w:abstractNumId w:val="23"/>
  </w:num>
  <w:num w:numId="27" w16cid:durableId="2040622207">
    <w:abstractNumId w:val="11"/>
  </w:num>
  <w:num w:numId="28" w16cid:durableId="552232335">
    <w:abstractNumId w:val="6"/>
  </w:num>
  <w:num w:numId="29" w16cid:durableId="430663607">
    <w:abstractNumId w:val="18"/>
  </w:num>
  <w:num w:numId="30" w16cid:durableId="5411359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71898927">
    <w:abstractNumId w:val="12"/>
  </w:num>
  <w:num w:numId="32" w16cid:durableId="1398282614">
    <w:abstractNumId w:val="36"/>
  </w:num>
  <w:num w:numId="33" w16cid:durableId="1634601653">
    <w:abstractNumId w:val="41"/>
  </w:num>
  <w:num w:numId="34" w16cid:durableId="1663462355">
    <w:abstractNumId w:val="25"/>
  </w:num>
  <w:num w:numId="35" w16cid:durableId="60492529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27664379">
    <w:abstractNumId w:val="9"/>
  </w:num>
  <w:num w:numId="37" w16cid:durableId="334767164">
    <w:abstractNumId w:val="27"/>
  </w:num>
  <w:num w:numId="38" w16cid:durableId="847017586">
    <w:abstractNumId w:val="19"/>
  </w:num>
  <w:num w:numId="39" w16cid:durableId="792985895">
    <w:abstractNumId w:val="38"/>
  </w:num>
  <w:num w:numId="40" w16cid:durableId="900940336">
    <w:abstractNumId w:val="32"/>
  </w:num>
  <w:num w:numId="41" w16cid:durableId="1581019940">
    <w:abstractNumId w:val="39"/>
  </w:num>
  <w:num w:numId="42" w16cid:durableId="42600459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1B8"/>
    <w:rsid w:val="00012B5E"/>
    <w:rsid w:val="0001615B"/>
    <w:rsid w:val="0002356C"/>
    <w:rsid w:val="00024CCF"/>
    <w:rsid w:val="00024F7D"/>
    <w:rsid w:val="00031531"/>
    <w:rsid w:val="00036B56"/>
    <w:rsid w:val="000373C0"/>
    <w:rsid w:val="00044F0C"/>
    <w:rsid w:val="00045A39"/>
    <w:rsid w:val="00051CB4"/>
    <w:rsid w:val="000530CA"/>
    <w:rsid w:val="00062348"/>
    <w:rsid w:val="000653B3"/>
    <w:rsid w:val="00066631"/>
    <w:rsid w:val="00070C9E"/>
    <w:rsid w:val="00073428"/>
    <w:rsid w:val="000817BD"/>
    <w:rsid w:val="00084511"/>
    <w:rsid w:val="000922C5"/>
    <w:rsid w:val="00095909"/>
    <w:rsid w:val="000A40DB"/>
    <w:rsid w:val="000A6AE0"/>
    <w:rsid w:val="000A7281"/>
    <w:rsid w:val="000C424A"/>
    <w:rsid w:val="000C51F5"/>
    <w:rsid w:val="000C7404"/>
    <w:rsid w:val="000D0251"/>
    <w:rsid w:val="000D41A8"/>
    <w:rsid w:val="000E039D"/>
    <w:rsid w:val="000E6814"/>
    <w:rsid w:val="00100CDD"/>
    <w:rsid w:val="00102F5B"/>
    <w:rsid w:val="00103A59"/>
    <w:rsid w:val="00106AD1"/>
    <w:rsid w:val="00111C1D"/>
    <w:rsid w:val="001143EC"/>
    <w:rsid w:val="0012161D"/>
    <w:rsid w:val="0013260A"/>
    <w:rsid w:val="001344C3"/>
    <w:rsid w:val="00143B74"/>
    <w:rsid w:val="00146F80"/>
    <w:rsid w:val="0014761D"/>
    <w:rsid w:val="00153746"/>
    <w:rsid w:val="001567DC"/>
    <w:rsid w:val="00156C24"/>
    <w:rsid w:val="001602AE"/>
    <w:rsid w:val="00160637"/>
    <w:rsid w:val="001630E6"/>
    <w:rsid w:val="00166E99"/>
    <w:rsid w:val="00176FDD"/>
    <w:rsid w:val="00177DED"/>
    <w:rsid w:val="001809CE"/>
    <w:rsid w:val="0018252D"/>
    <w:rsid w:val="001831C7"/>
    <w:rsid w:val="00183359"/>
    <w:rsid w:val="001837E4"/>
    <w:rsid w:val="00183BBB"/>
    <w:rsid w:val="00186A46"/>
    <w:rsid w:val="00191320"/>
    <w:rsid w:val="00195D38"/>
    <w:rsid w:val="00195D90"/>
    <w:rsid w:val="00196253"/>
    <w:rsid w:val="001A23BE"/>
    <w:rsid w:val="001B748B"/>
    <w:rsid w:val="001B7BFE"/>
    <w:rsid w:val="001C68A9"/>
    <w:rsid w:val="001C75C1"/>
    <w:rsid w:val="001D164A"/>
    <w:rsid w:val="002050E6"/>
    <w:rsid w:val="00211200"/>
    <w:rsid w:val="00220154"/>
    <w:rsid w:val="00222186"/>
    <w:rsid w:val="00224C7E"/>
    <w:rsid w:val="002400F9"/>
    <w:rsid w:val="002412D2"/>
    <w:rsid w:val="00250CA3"/>
    <w:rsid w:val="00256145"/>
    <w:rsid w:val="00256ABB"/>
    <w:rsid w:val="00261579"/>
    <w:rsid w:val="00262087"/>
    <w:rsid w:val="0026208A"/>
    <w:rsid w:val="0026691C"/>
    <w:rsid w:val="00266CC1"/>
    <w:rsid w:val="00271E89"/>
    <w:rsid w:val="0027317F"/>
    <w:rsid w:val="00273782"/>
    <w:rsid w:val="00283DA2"/>
    <w:rsid w:val="002868FC"/>
    <w:rsid w:val="0028696B"/>
    <w:rsid w:val="00287A3E"/>
    <w:rsid w:val="00293AAD"/>
    <w:rsid w:val="00295066"/>
    <w:rsid w:val="002A2ECD"/>
    <w:rsid w:val="002B02E8"/>
    <w:rsid w:val="002C4B18"/>
    <w:rsid w:val="002C6674"/>
    <w:rsid w:val="002C7349"/>
    <w:rsid w:val="002C740C"/>
    <w:rsid w:val="002D20F2"/>
    <w:rsid w:val="002D3697"/>
    <w:rsid w:val="002D7C76"/>
    <w:rsid w:val="002E27FA"/>
    <w:rsid w:val="002E2DAD"/>
    <w:rsid w:val="002E5984"/>
    <w:rsid w:val="00300E20"/>
    <w:rsid w:val="00304025"/>
    <w:rsid w:val="0032221F"/>
    <w:rsid w:val="0032295D"/>
    <w:rsid w:val="00325262"/>
    <w:rsid w:val="00325F8E"/>
    <w:rsid w:val="00336F41"/>
    <w:rsid w:val="00341EFA"/>
    <w:rsid w:val="0034583A"/>
    <w:rsid w:val="00345BA2"/>
    <w:rsid w:val="003466E9"/>
    <w:rsid w:val="0035311B"/>
    <w:rsid w:val="00354887"/>
    <w:rsid w:val="003558BE"/>
    <w:rsid w:val="00357B8B"/>
    <w:rsid w:val="003643AD"/>
    <w:rsid w:val="003733F6"/>
    <w:rsid w:val="003740BC"/>
    <w:rsid w:val="00374492"/>
    <w:rsid w:val="0037467B"/>
    <w:rsid w:val="00374E73"/>
    <w:rsid w:val="003757D6"/>
    <w:rsid w:val="00382A33"/>
    <w:rsid w:val="00383736"/>
    <w:rsid w:val="003859CB"/>
    <w:rsid w:val="003921E8"/>
    <w:rsid w:val="003939C7"/>
    <w:rsid w:val="00396BF5"/>
    <w:rsid w:val="00396E75"/>
    <w:rsid w:val="00397330"/>
    <w:rsid w:val="00397BD4"/>
    <w:rsid w:val="00397FD6"/>
    <w:rsid w:val="003A1A40"/>
    <w:rsid w:val="003A384B"/>
    <w:rsid w:val="003A6021"/>
    <w:rsid w:val="003A6358"/>
    <w:rsid w:val="003A6470"/>
    <w:rsid w:val="003B0815"/>
    <w:rsid w:val="003B24ED"/>
    <w:rsid w:val="003B6FBB"/>
    <w:rsid w:val="003C4BAA"/>
    <w:rsid w:val="003D06D6"/>
    <w:rsid w:val="003D37BD"/>
    <w:rsid w:val="003D3DDC"/>
    <w:rsid w:val="003D53EC"/>
    <w:rsid w:val="003E1ADE"/>
    <w:rsid w:val="003E2D75"/>
    <w:rsid w:val="003E3439"/>
    <w:rsid w:val="003E4869"/>
    <w:rsid w:val="003E762F"/>
    <w:rsid w:val="003F15E8"/>
    <w:rsid w:val="00404472"/>
    <w:rsid w:val="004051DA"/>
    <w:rsid w:val="00434D1E"/>
    <w:rsid w:val="004372A3"/>
    <w:rsid w:val="00444CDD"/>
    <w:rsid w:val="004466EC"/>
    <w:rsid w:val="00446C06"/>
    <w:rsid w:val="00450AB7"/>
    <w:rsid w:val="00450ED1"/>
    <w:rsid w:val="00456C42"/>
    <w:rsid w:val="00456CCF"/>
    <w:rsid w:val="00460C62"/>
    <w:rsid w:val="004652C4"/>
    <w:rsid w:val="00467E4E"/>
    <w:rsid w:val="004741C3"/>
    <w:rsid w:val="00474E32"/>
    <w:rsid w:val="004750BC"/>
    <w:rsid w:val="00482714"/>
    <w:rsid w:val="004903B7"/>
    <w:rsid w:val="00492F5D"/>
    <w:rsid w:val="00496E2B"/>
    <w:rsid w:val="00497BEC"/>
    <w:rsid w:val="00497E4F"/>
    <w:rsid w:val="004A2ABC"/>
    <w:rsid w:val="004A324A"/>
    <w:rsid w:val="004B03AF"/>
    <w:rsid w:val="004B1E0A"/>
    <w:rsid w:val="004C701D"/>
    <w:rsid w:val="004D38A8"/>
    <w:rsid w:val="004E045B"/>
    <w:rsid w:val="004E5041"/>
    <w:rsid w:val="004E6E32"/>
    <w:rsid w:val="004E79F1"/>
    <w:rsid w:val="004E7F14"/>
    <w:rsid w:val="004F16BC"/>
    <w:rsid w:val="005017C2"/>
    <w:rsid w:val="00502514"/>
    <w:rsid w:val="00502E16"/>
    <w:rsid w:val="00505831"/>
    <w:rsid w:val="0051349F"/>
    <w:rsid w:val="00516541"/>
    <w:rsid w:val="00525BAF"/>
    <w:rsid w:val="005275F4"/>
    <w:rsid w:val="00527F34"/>
    <w:rsid w:val="00534E0D"/>
    <w:rsid w:val="005364D6"/>
    <w:rsid w:val="00537D9E"/>
    <w:rsid w:val="00545B95"/>
    <w:rsid w:val="005479E3"/>
    <w:rsid w:val="0055050E"/>
    <w:rsid w:val="00550BD5"/>
    <w:rsid w:val="005554B2"/>
    <w:rsid w:val="00557470"/>
    <w:rsid w:val="00557C9D"/>
    <w:rsid w:val="00557CBB"/>
    <w:rsid w:val="00566EF9"/>
    <w:rsid w:val="005670EA"/>
    <w:rsid w:val="00570C7A"/>
    <w:rsid w:val="00574F80"/>
    <w:rsid w:val="00580D62"/>
    <w:rsid w:val="0058159C"/>
    <w:rsid w:val="00584507"/>
    <w:rsid w:val="00587D04"/>
    <w:rsid w:val="00593720"/>
    <w:rsid w:val="0059647E"/>
    <w:rsid w:val="005A0129"/>
    <w:rsid w:val="005A7147"/>
    <w:rsid w:val="005A7DF3"/>
    <w:rsid w:val="005B0376"/>
    <w:rsid w:val="005C14E9"/>
    <w:rsid w:val="005C285D"/>
    <w:rsid w:val="005D038A"/>
    <w:rsid w:val="005D6D2C"/>
    <w:rsid w:val="005E1BD5"/>
    <w:rsid w:val="005E3C53"/>
    <w:rsid w:val="005F4549"/>
    <w:rsid w:val="005F6F6E"/>
    <w:rsid w:val="006018FF"/>
    <w:rsid w:val="00604C54"/>
    <w:rsid w:val="00607340"/>
    <w:rsid w:val="0061079B"/>
    <w:rsid w:val="006109A3"/>
    <w:rsid w:val="00620D6A"/>
    <w:rsid w:val="00623C9B"/>
    <w:rsid w:val="0062547A"/>
    <w:rsid w:val="0062714E"/>
    <w:rsid w:val="00627C5E"/>
    <w:rsid w:val="006338F8"/>
    <w:rsid w:val="00635EF7"/>
    <w:rsid w:val="00640210"/>
    <w:rsid w:val="00641D2C"/>
    <w:rsid w:val="006443FB"/>
    <w:rsid w:val="00645678"/>
    <w:rsid w:val="00651EC7"/>
    <w:rsid w:val="00654A59"/>
    <w:rsid w:val="00660C09"/>
    <w:rsid w:val="0066284D"/>
    <w:rsid w:val="00666E27"/>
    <w:rsid w:val="006700DB"/>
    <w:rsid w:val="00673A79"/>
    <w:rsid w:val="006750A2"/>
    <w:rsid w:val="00676C1C"/>
    <w:rsid w:val="0068003D"/>
    <w:rsid w:val="00685F11"/>
    <w:rsid w:val="006911CC"/>
    <w:rsid w:val="006A056B"/>
    <w:rsid w:val="006A1AD6"/>
    <w:rsid w:val="006A299B"/>
    <w:rsid w:val="006B029F"/>
    <w:rsid w:val="006B330C"/>
    <w:rsid w:val="006B3A58"/>
    <w:rsid w:val="006B4200"/>
    <w:rsid w:val="006C1398"/>
    <w:rsid w:val="006D077C"/>
    <w:rsid w:val="006D4DE5"/>
    <w:rsid w:val="006E1ABC"/>
    <w:rsid w:val="006E52D5"/>
    <w:rsid w:val="006E5B28"/>
    <w:rsid w:val="006F40A5"/>
    <w:rsid w:val="006F6EA2"/>
    <w:rsid w:val="007010C8"/>
    <w:rsid w:val="007053EE"/>
    <w:rsid w:val="00705A8D"/>
    <w:rsid w:val="007125FD"/>
    <w:rsid w:val="007161C2"/>
    <w:rsid w:val="00720606"/>
    <w:rsid w:val="0072099C"/>
    <w:rsid w:val="007214D5"/>
    <w:rsid w:val="00721FDD"/>
    <w:rsid w:val="0072633D"/>
    <w:rsid w:val="00727B1F"/>
    <w:rsid w:val="00727BE6"/>
    <w:rsid w:val="0073208A"/>
    <w:rsid w:val="00733D18"/>
    <w:rsid w:val="007356C0"/>
    <w:rsid w:val="007455F0"/>
    <w:rsid w:val="00745A56"/>
    <w:rsid w:val="00747540"/>
    <w:rsid w:val="00751CD2"/>
    <w:rsid w:val="00754669"/>
    <w:rsid w:val="00755221"/>
    <w:rsid w:val="00767C0C"/>
    <w:rsid w:val="007701A0"/>
    <w:rsid w:val="0078266A"/>
    <w:rsid w:val="00783E06"/>
    <w:rsid w:val="00785FF6"/>
    <w:rsid w:val="00792C1F"/>
    <w:rsid w:val="0079331C"/>
    <w:rsid w:val="00793B8C"/>
    <w:rsid w:val="00793C07"/>
    <w:rsid w:val="0079415D"/>
    <w:rsid w:val="00795FF3"/>
    <w:rsid w:val="007A662A"/>
    <w:rsid w:val="007B0345"/>
    <w:rsid w:val="007B06C1"/>
    <w:rsid w:val="007C39C7"/>
    <w:rsid w:val="007D35F5"/>
    <w:rsid w:val="007D5D9B"/>
    <w:rsid w:val="007D635A"/>
    <w:rsid w:val="007E0639"/>
    <w:rsid w:val="007E2360"/>
    <w:rsid w:val="007E5720"/>
    <w:rsid w:val="007E6882"/>
    <w:rsid w:val="007E7300"/>
    <w:rsid w:val="007E7F29"/>
    <w:rsid w:val="00811FBA"/>
    <w:rsid w:val="0081421C"/>
    <w:rsid w:val="0081451B"/>
    <w:rsid w:val="00821547"/>
    <w:rsid w:val="00827037"/>
    <w:rsid w:val="00831886"/>
    <w:rsid w:val="008364F8"/>
    <w:rsid w:val="00836631"/>
    <w:rsid w:val="008372E9"/>
    <w:rsid w:val="00837591"/>
    <w:rsid w:val="00837CAD"/>
    <w:rsid w:val="00841B18"/>
    <w:rsid w:val="008456ED"/>
    <w:rsid w:val="00845CD8"/>
    <w:rsid w:val="008464BC"/>
    <w:rsid w:val="00846834"/>
    <w:rsid w:val="00857881"/>
    <w:rsid w:val="0086535E"/>
    <w:rsid w:val="0087313A"/>
    <w:rsid w:val="00876EED"/>
    <w:rsid w:val="00880021"/>
    <w:rsid w:val="008821A7"/>
    <w:rsid w:val="00886F52"/>
    <w:rsid w:val="00890551"/>
    <w:rsid w:val="00894D03"/>
    <w:rsid w:val="00896826"/>
    <w:rsid w:val="0089752F"/>
    <w:rsid w:val="008A0440"/>
    <w:rsid w:val="008C4DDC"/>
    <w:rsid w:val="008C630E"/>
    <w:rsid w:val="008D0CD6"/>
    <w:rsid w:val="008D4B4B"/>
    <w:rsid w:val="008E1ECC"/>
    <w:rsid w:val="008E1F92"/>
    <w:rsid w:val="008E5200"/>
    <w:rsid w:val="008F2C0D"/>
    <w:rsid w:val="008F3347"/>
    <w:rsid w:val="008F39E5"/>
    <w:rsid w:val="008F6644"/>
    <w:rsid w:val="0090113D"/>
    <w:rsid w:val="00901680"/>
    <w:rsid w:val="00903A49"/>
    <w:rsid w:val="00907841"/>
    <w:rsid w:val="00907F4C"/>
    <w:rsid w:val="00911B45"/>
    <w:rsid w:val="00914ADF"/>
    <w:rsid w:val="00915477"/>
    <w:rsid w:val="00920445"/>
    <w:rsid w:val="00920566"/>
    <w:rsid w:val="0092066D"/>
    <w:rsid w:val="00924596"/>
    <w:rsid w:val="00931F38"/>
    <w:rsid w:val="009349DC"/>
    <w:rsid w:val="00935516"/>
    <w:rsid w:val="0093620D"/>
    <w:rsid w:val="009369A1"/>
    <w:rsid w:val="00937A30"/>
    <w:rsid w:val="0094481A"/>
    <w:rsid w:val="00946BC7"/>
    <w:rsid w:val="00951FCC"/>
    <w:rsid w:val="009521C1"/>
    <w:rsid w:val="00952629"/>
    <w:rsid w:val="00954766"/>
    <w:rsid w:val="009548F9"/>
    <w:rsid w:val="00960274"/>
    <w:rsid w:val="00960CD7"/>
    <w:rsid w:val="0096325B"/>
    <w:rsid w:val="0096396A"/>
    <w:rsid w:val="00964D89"/>
    <w:rsid w:val="00970EF7"/>
    <w:rsid w:val="0097302F"/>
    <w:rsid w:val="00982793"/>
    <w:rsid w:val="00983FDC"/>
    <w:rsid w:val="0098452C"/>
    <w:rsid w:val="00994198"/>
    <w:rsid w:val="00996094"/>
    <w:rsid w:val="009963DE"/>
    <w:rsid w:val="009A27F6"/>
    <w:rsid w:val="009A4E7F"/>
    <w:rsid w:val="009B00D1"/>
    <w:rsid w:val="009B38B7"/>
    <w:rsid w:val="009D09B8"/>
    <w:rsid w:val="009D1CE3"/>
    <w:rsid w:val="009E2CFC"/>
    <w:rsid w:val="009E710B"/>
    <w:rsid w:val="00A00DBF"/>
    <w:rsid w:val="00A0198B"/>
    <w:rsid w:val="00A0611B"/>
    <w:rsid w:val="00A06FCA"/>
    <w:rsid w:val="00A079B7"/>
    <w:rsid w:val="00A10BC3"/>
    <w:rsid w:val="00A10C66"/>
    <w:rsid w:val="00A133CB"/>
    <w:rsid w:val="00A34DE5"/>
    <w:rsid w:val="00A35A38"/>
    <w:rsid w:val="00A3754E"/>
    <w:rsid w:val="00A46F15"/>
    <w:rsid w:val="00A5141A"/>
    <w:rsid w:val="00A56A2E"/>
    <w:rsid w:val="00A611B7"/>
    <w:rsid w:val="00A61633"/>
    <w:rsid w:val="00A62250"/>
    <w:rsid w:val="00A64561"/>
    <w:rsid w:val="00A66E8A"/>
    <w:rsid w:val="00A73A46"/>
    <w:rsid w:val="00A755D7"/>
    <w:rsid w:val="00A7795F"/>
    <w:rsid w:val="00A85151"/>
    <w:rsid w:val="00A86EDC"/>
    <w:rsid w:val="00A87E67"/>
    <w:rsid w:val="00A901A8"/>
    <w:rsid w:val="00A94CC0"/>
    <w:rsid w:val="00A97730"/>
    <w:rsid w:val="00AA1073"/>
    <w:rsid w:val="00AA6E7C"/>
    <w:rsid w:val="00AA7ED8"/>
    <w:rsid w:val="00AB0249"/>
    <w:rsid w:val="00AB34F9"/>
    <w:rsid w:val="00AC0042"/>
    <w:rsid w:val="00AC085A"/>
    <w:rsid w:val="00AC2AC1"/>
    <w:rsid w:val="00AD13CA"/>
    <w:rsid w:val="00AD2931"/>
    <w:rsid w:val="00AD55E9"/>
    <w:rsid w:val="00AE0ED5"/>
    <w:rsid w:val="00AE15F4"/>
    <w:rsid w:val="00AE1ABD"/>
    <w:rsid w:val="00AE1AD9"/>
    <w:rsid w:val="00AE5237"/>
    <w:rsid w:val="00AE7181"/>
    <w:rsid w:val="00B038E6"/>
    <w:rsid w:val="00B03B59"/>
    <w:rsid w:val="00B068EF"/>
    <w:rsid w:val="00B07885"/>
    <w:rsid w:val="00B13B40"/>
    <w:rsid w:val="00B1433B"/>
    <w:rsid w:val="00B1794B"/>
    <w:rsid w:val="00B17F7B"/>
    <w:rsid w:val="00B20EC7"/>
    <w:rsid w:val="00B2333F"/>
    <w:rsid w:val="00B237EB"/>
    <w:rsid w:val="00B23B17"/>
    <w:rsid w:val="00B25304"/>
    <w:rsid w:val="00B26CD2"/>
    <w:rsid w:val="00B52D77"/>
    <w:rsid w:val="00B54C0C"/>
    <w:rsid w:val="00B7106C"/>
    <w:rsid w:val="00B738C9"/>
    <w:rsid w:val="00B82BCF"/>
    <w:rsid w:val="00B844D6"/>
    <w:rsid w:val="00B92E89"/>
    <w:rsid w:val="00B95E1D"/>
    <w:rsid w:val="00BA683A"/>
    <w:rsid w:val="00BA742F"/>
    <w:rsid w:val="00BB0618"/>
    <w:rsid w:val="00BB57E5"/>
    <w:rsid w:val="00BC01D6"/>
    <w:rsid w:val="00BC2988"/>
    <w:rsid w:val="00BD0BBA"/>
    <w:rsid w:val="00BD193E"/>
    <w:rsid w:val="00BD2A5A"/>
    <w:rsid w:val="00BD2E84"/>
    <w:rsid w:val="00BD4A3B"/>
    <w:rsid w:val="00BE06D9"/>
    <w:rsid w:val="00BF4D8B"/>
    <w:rsid w:val="00BF544E"/>
    <w:rsid w:val="00C07A67"/>
    <w:rsid w:val="00C12DD5"/>
    <w:rsid w:val="00C133FB"/>
    <w:rsid w:val="00C241B8"/>
    <w:rsid w:val="00C35555"/>
    <w:rsid w:val="00C35C9B"/>
    <w:rsid w:val="00C40624"/>
    <w:rsid w:val="00C4759A"/>
    <w:rsid w:val="00C6213B"/>
    <w:rsid w:val="00C72773"/>
    <w:rsid w:val="00C74676"/>
    <w:rsid w:val="00C76710"/>
    <w:rsid w:val="00C77B16"/>
    <w:rsid w:val="00C81F7E"/>
    <w:rsid w:val="00C84F0A"/>
    <w:rsid w:val="00C95353"/>
    <w:rsid w:val="00C962D8"/>
    <w:rsid w:val="00CA064D"/>
    <w:rsid w:val="00CA2338"/>
    <w:rsid w:val="00CA2BA2"/>
    <w:rsid w:val="00CA7288"/>
    <w:rsid w:val="00CB06E3"/>
    <w:rsid w:val="00CB35B6"/>
    <w:rsid w:val="00CB4594"/>
    <w:rsid w:val="00CB5363"/>
    <w:rsid w:val="00CB60D8"/>
    <w:rsid w:val="00CC11F2"/>
    <w:rsid w:val="00CC2933"/>
    <w:rsid w:val="00CC5467"/>
    <w:rsid w:val="00CC5ABD"/>
    <w:rsid w:val="00CC71C1"/>
    <w:rsid w:val="00CD41EE"/>
    <w:rsid w:val="00CD5F60"/>
    <w:rsid w:val="00CE05C2"/>
    <w:rsid w:val="00CE15A0"/>
    <w:rsid w:val="00CE494C"/>
    <w:rsid w:val="00CF15AC"/>
    <w:rsid w:val="00CF3451"/>
    <w:rsid w:val="00CF3627"/>
    <w:rsid w:val="00CF6F0F"/>
    <w:rsid w:val="00CF77D5"/>
    <w:rsid w:val="00D01AEA"/>
    <w:rsid w:val="00D047CA"/>
    <w:rsid w:val="00D127B2"/>
    <w:rsid w:val="00D13989"/>
    <w:rsid w:val="00D13C90"/>
    <w:rsid w:val="00D156F9"/>
    <w:rsid w:val="00D21EB1"/>
    <w:rsid w:val="00D242C7"/>
    <w:rsid w:val="00D242D2"/>
    <w:rsid w:val="00D311D2"/>
    <w:rsid w:val="00D32BEF"/>
    <w:rsid w:val="00D32E77"/>
    <w:rsid w:val="00D355D9"/>
    <w:rsid w:val="00D36646"/>
    <w:rsid w:val="00D43838"/>
    <w:rsid w:val="00D458A5"/>
    <w:rsid w:val="00D53FD9"/>
    <w:rsid w:val="00D54A7C"/>
    <w:rsid w:val="00D54F57"/>
    <w:rsid w:val="00D55ADB"/>
    <w:rsid w:val="00D57E3F"/>
    <w:rsid w:val="00D62BCB"/>
    <w:rsid w:val="00D647F4"/>
    <w:rsid w:val="00D669BC"/>
    <w:rsid w:val="00D70C0F"/>
    <w:rsid w:val="00D724D2"/>
    <w:rsid w:val="00D800F0"/>
    <w:rsid w:val="00D95060"/>
    <w:rsid w:val="00DA1A4B"/>
    <w:rsid w:val="00DB1D99"/>
    <w:rsid w:val="00DB371C"/>
    <w:rsid w:val="00DC1D00"/>
    <w:rsid w:val="00DC2335"/>
    <w:rsid w:val="00DC460F"/>
    <w:rsid w:val="00DD18C8"/>
    <w:rsid w:val="00DD70A1"/>
    <w:rsid w:val="00DE0913"/>
    <w:rsid w:val="00DE19BF"/>
    <w:rsid w:val="00DE6BEA"/>
    <w:rsid w:val="00DF01C4"/>
    <w:rsid w:val="00DF4EB2"/>
    <w:rsid w:val="00E029A5"/>
    <w:rsid w:val="00E02C22"/>
    <w:rsid w:val="00E1138F"/>
    <w:rsid w:val="00E161D9"/>
    <w:rsid w:val="00E2023F"/>
    <w:rsid w:val="00E23535"/>
    <w:rsid w:val="00E23AB8"/>
    <w:rsid w:val="00E26A46"/>
    <w:rsid w:val="00E308C8"/>
    <w:rsid w:val="00E329F2"/>
    <w:rsid w:val="00E32C07"/>
    <w:rsid w:val="00E46873"/>
    <w:rsid w:val="00E46CAA"/>
    <w:rsid w:val="00E57F76"/>
    <w:rsid w:val="00E602DE"/>
    <w:rsid w:val="00E617CB"/>
    <w:rsid w:val="00E71D7B"/>
    <w:rsid w:val="00E75269"/>
    <w:rsid w:val="00E80B91"/>
    <w:rsid w:val="00E8524E"/>
    <w:rsid w:val="00E87121"/>
    <w:rsid w:val="00E92428"/>
    <w:rsid w:val="00E943CF"/>
    <w:rsid w:val="00E9745A"/>
    <w:rsid w:val="00EA6EA8"/>
    <w:rsid w:val="00EB4AE3"/>
    <w:rsid w:val="00EC7413"/>
    <w:rsid w:val="00ED2077"/>
    <w:rsid w:val="00ED2B64"/>
    <w:rsid w:val="00ED44D0"/>
    <w:rsid w:val="00EE3249"/>
    <w:rsid w:val="00EE3A69"/>
    <w:rsid w:val="00EE4D70"/>
    <w:rsid w:val="00EF051D"/>
    <w:rsid w:val="00EF4154"/>
    <w:rsid w:val="00EF7CA5"/>
    <w:rsid w:val="00F00672"/>
    <w:rsid w:val="00F007CD"/>
    <w:rsid w:val="00F13D8A"/>
    <w:rsid w:val="00F17128"/>
    <w:rsid w:val="00F21129"/>
    <w:rsid w:val="00F22DBC"/>
    <w:rsid w:val="00F2506B"/>
    <w:rsid w:val="00F252CD"/>
    <w:rsid w:val="00F27510"/>
    <w:rsid w:val="00F32A09"/>
    <w:rsid w:val="00F330EF"/>
    <w:rsid w:val="00F348FC"/>
    <w:rsid w:val="00F402A2"/>
    <w:rsid w:val="00F4137F"/>
    <w:rsid w:val="00F50DBA"/>
    <w:rsid w:val="00F54493"/>
    <w:rsid w:val="00F66713"/>
    <w:rsid w:val="00F7240A"/>
    <w:rsid w:val="00F752CF"/>
    <w:rsid w:val="00F8009D"/>
    <w:rsid w:val="00F80993"/>
    <w:rsid w:val="00F811A9"/>
    <w:rsid w:val="00F82FBD"/>
    <w:rsid w:val="00F858FC"/>
    <w:rsid w:val="00F9064B"/>
    <w:rsid w:val="00F91EF5"/>
    <w:rsid w:val="00F94B87"/>
    <w:rsid w:val="00FA00E3"/>
    <w:rsid w:val="00FA4224"/>
    <w:rsid w:val="00FA45A2"/>
    <w:rsid w:val="00FA6998"/>
    <w:rsid w:val="00FB2840"/>
    <w:rsid w:val="00FB37F5"/>
    <w:rsid w:val="00FB55F9"/>
    <w:rsid w:val="00FB603F"/>
    <w:rsid w:val="00FC471F"/>
    <w:rsid w:val="00FC610B"/>
    <w:rsid w:val="00FC7D36"/>
    <w:rsid w:val="00FD02B8"/>
    <w:rsid w:val="00FD5636"/>
    <w:rsid w:val="00FE11D4"/>
    <w:rsid w:val="00FE3DD1"/>
    <w:rsid w:val="00FF0D45"/>
    <w:rsid w:val="00FF3C0B"/>
    <w:rsid w:val="00FF6426"/>
    <w:rsid w:val="00FF72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A9C35"/>
  <w15:docId w15:val="{FDD1E411-5DB3-4A6E-A8D6-5D325D937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Naslov1">
    <w:name w:val="heading 1"/>
    <w:basedOn w:val="Normal"/>
    <w:uiPriority w:val="9"/>
    <w:qFormat/>
    <w:pPr>
      <w:ind w:left="151"/>
      <w:jc w:val="both"/>
      <w:outlineLvl w:val="0"/>
    </w:pPr>
    <w:rPr>
      <w:b/>
      <w:bCs/>
      <w:sz w:val="24"/>
      <w:szCs w:val="24"/>
    </w:rPr>
  </w:style>
  <w:style w:type="paragraph" w:styleId="Naslov2">
    <w:name w:val="heading 2"/>
    <w:basedOn w:val="Normal"/>
    <w:next w:val="Normal"/>
    <w:link w:val="Naslov2Char"/>
    <w:uiPriority w:val="9"/>
    <w:unhideWhenUsed/>
    <w:qFormat/>
    <w:rsid w:val="00A10C66"/>
    <w:pPr>
      <w:keepNext/>
      <w:keepLines/>
      <w:widowControl/>
      <w:autoSpaceDE/>
      <w:autoSpaceDN/>
      <w:spacing w:before="40" w:line="259" w:lineRule="auto"/>
      <w:outlineLvl w:val="1"/>
    </w:pPr>
    <w:rPr>
      <w:rFonts w:asciiTheme="majorHAnsi" w:eastAsiaTheme="majorEastAsia" w:hAnsiTheme="majorHAnsi" w:cstheme="majorBidi"/>
      <w:color w:val="365F91" w:themeColor="accent1" w:themeShade="BF"/>
      <w:kern w:val="2"/>
      <w:sz w:val="26"/>
      <w:szCs w:val="26"/>
      <w14:ligatures w14:val="standardContextual"/>
    </w:rPr>
  </w:style>
  <w:style w:type="paragraph" w:styleId="Naslov3">
    <w:name w:val="heading 3"/>
    <w:basedOn w:val="Normal"/>
    <w:next w:val="Normal"/>
    <w:link w:val="Naslov3Char"/>
    <w:uiPriority w:val="9"/>
    <w:unhideWhenUsed/>
    <w:qFormat/>
    <w:rsid w:val="00E87121"/>
    <w:pPr>
      <w:keepNext/>
      <w:keepLines/>
      <w:widowControl/>
      <w:autoSpaceDE/>
      <w:autoSpaceDN/>
      <w:spacing w:before="40" w:line="259" w:lineRule="auto"/>
      <w:outlineLvl w:val="2"/>
    </w:pPr>
    <w:rPr>
      <w:rFonts w:asciiTheme="majorHAnsi" w:eastAsiaTheme="majorEastAsia" w:hAnsiTheme="majorHAnsi" w:cstheme="majorBidi"/>
      <w:color w:val="243F60" w:themeColor="accent1" w:themeShade="7F"/>
      <w:kern w:val="2"/>
      <w:sz w:val="24"/>
      <w:szCs w:val="24"/>
      <w14:ligatures w14:val="standardContextual"/>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ijeloteksta">
    <w:name w:val="Body Text"/>
    <w:basedOn w:val="Normal"/>
    <w:link w:val="TijelotekstaChar"/>
    <w:uiPriority w:val="1"/>
    <w:qFormat/>
    <w:rPr>
      <w:sz w:val="24"/>
      <w:szCs w:val="24"/>
    </w:rPr>
  </w:style>
  <w:style w:type="paragraph" w:styleId="Naslov">
    <w:name w:val="Title"/>
    <w:basedOn w:val="Normal"/>
    <w:uiPriority w:val="10"/>
    <w:qFormat/>
    <w:pPr>
      <w:spacing w:before="1"/>
      <w:ind w:left="3000" w:right="1120" w:hanging="1028"/>
    </w:pPr>
    <w:rPr>
      <w:b/>
      <w:bCs/>
      <w:sz w:val="46"/>
      <w:szCs w:val="46"/>
    </w:rPr>
  </w:style>
  <w:style w:type="paragraph" w:styleId="Odlomakpopisa">
    <w:name w:val="List Paragraph"/>
    <w:basedOn w:val="Normal"/>
    <w:uiPriority w:val="34"/>
    <w:qFormat/>
    <w:pPr>
      <w:spacing w:before="138"/>
      <w:ind w:left="871" w:hanging="361"/>
    </w:pPr>
  </w:style>
  <w:style w:type="paragraph" w:customStyle="1" w:styleId="TableParagraph">
    <w:name w:val="Table Paragraph"/>
    <w:basedOn w:val="Normal"/>
    <w:uiPriority w:val="1"/>
    <w:qFormat/>
    <w:pPr>
      <w:spacing w:before="141"/>
      <w:ind w:left="404"/>
    </w:pPr>
  </w:style>
  <w:style w:type="character" w:styleId="Hiperveza">
    <w:name w:val="Hyperlink"/>
    <w:basedOn w:val="Zadanifontodlomka"/>
    <w:uiPriority w:val="99"/>
    <w:unhideWhenUsed/>
    <w:rsid w:val="00721FDD"/>
    <w:rPr>
      <w:color w:val="0563C1"/>
      <w:u w:val="single"/>
    </w:rPr>
  </w:style>
  <w:style w:type="character" w:styleId="Nerijeenospominjanje">
    <w:name w:val="Unresolved Mention"/>
    <w:basedOn w:val="Zadanifontodlomka"/>
    <w:uiPriority w:val="99"/>
    <w:semiHidden/>
    <w:unhideWhenUsed/>
    <w:rsid w:val="00721FDD"/>
    <w:rPr>
      <w:color w:val="605E5C"/>
      <w:shd w:val="clear" w:color="auto" w:fill="E1DFDD"/>
    </w:rPr>
  </w:style>
  <w:style w:type="character" w:customStyle="1" w:styleId="Naslov2Char">
    <w:name w:val="Naslov 2 Char"/>
    <w:basedOn w:val="Zadanifontodlomka"/>
    <w:link w:val="Naslov2"/>
    <w:uiPriority w:val="9"/>
    <w:rsid w:val="00A10C66"/>
    <w:rPr>
      <w:rFonts w:asciiTheme="majorHAnsi" w:eastAsiaTheme="majorEastAsia" w:hAnsiTheme="majorHAnsi" w:cstheme="majorBidi"/>
      <w:color w:val="365F91" w:themeColor="accent1" w:themeShade="BF"/>
      <w:kern w:val="2"/>
      <w:sz w:val="26"/>
      <w:szCs w:val="26"/>
      <w14:ligatures w14:val="standardContextual"/>
    </w:rPr>
  </w:style>
  <w:style w:type="character" w:customStyle="1" w:styleId="Naslov3Char">
    <w:name w:val="Naslov 3 Char"/>
    <w:basedOn w:val="Zadanifontodlomka"/>
    <w:link w:val="Naslov3"/>
    <w:uiPriority w:val="9"/>
    <w:rsid w:val="00E87121"/>
    <w:rPr>
      <w:rFonts w:asciiTheme="majorHAnsi" w:eastAsiaTheme="majorEastAsia" w:hAnsiTheme="majorHAnsi" w:cstheme="majorBidi"/>
      <w:color w:val="243F60" w:themeColor="accent1" w:themeShade="7F"/>
      <w:kern w:val="2"/>
      <w:sz w:val="24"/>
      <w:szCs w:val="24"/>
      <w14:ligatures w14:val="standardContextual"/>
    </w:rPr>
  </w:style>
  <w:style w:type="character" w:styleId="SlijeenaHiperveza">
    <w:name w:val="FollowedHyperlink"/>
    <w:basedOn w:val="Zadanifontodlomka"/>
    <w:uiPriority w:val="99"/>
    <w:semiHidden/>
    <w:unhideWhenUsed/>
    <w:rsid w:val="001344C3"/>
    <w:rPr>
      <w:color w:val="800080" w:themeColor="followedHyperlink"/>
      <w:u w:val="single"/>
    </w:rPr>
  </w:style>
  <w:style w:type="table" w:styleId="Reetkatablice">
    <w:name w:val="Table Grid"/>
    <w:basedOn w:val="Obinatablica"/>
    <w:uiPriority w:val="39"/>
    <w:rsid w:val="004E5041"/>
    <w:pPr>
      <w:widowControl/>
      <w:autoSpaceDE/>
      <w:autoSpaceDN/>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A7"/>
    <w:uiPriority w:val="99"/>
    <w:rsid w:val="00CE494C"/>
    <w:rPr>
      <w:rFonts w:cs="Open Sans"/>
      <w:b/>
      <w:bCs/>
      <w:i/>
      <w:iCs/>
      <w:color w:val="221E1F"/>
      <w:sz w:val="18"/>
      <w:szCs w:val="18"/>
    </w:rPr>
  </w:style>
  <w:style w:type="paragraph" w:styleId="Tekstkomentara">
    <w:name w:val="annotation text"/>
    <w:basedOn w:val="Normal"/>
    <w:link w:val="TekstkomentaraChar"/>
    <w:uiPriority w:val="99"/>
    <w:unhideWhenUsed/>
    <w:rsid w:val="009369A1"/>
    <w:pPr>
      <w:widowControl/>
      <w:autoSpaceDE/>
      <w:autoSpaceDN/>
      <w:spacing w:after="160"/>
    </w:pPr>
    <w:rPr>
      <w:rFonts w:asciiTheme="minorHAnsi" w:eastAsiaTheme="minorHAnsi" w:hAnsiTheme="minorHAnsi" w:cstheme="minorBidi"/>
      <w:kern w:val="2"/>
      <w:sz w:val="20"/>
      <w:szCs w:val="20"/>
      <w14:ligatures w14:val="standardContextual"/>
    </w:rPr>
  </w:style>
  <w:style w:type="character" w:customStyle="1" w:styleId="TekstkomentaraChar">
    <w:name w:val="Tekst komentara Char"/>
    <w:basedOn w:val="Zadanifontodlomka"/>
    <w:link w:val="Tekstkomentara"/>
    <w:uiPriority w:val="99"/>
    <w:rsid w:val="009369A1"/>
    <w:rPr>
      <w:kern w:val="2"/>
      <w:sz w:val="20"/>
      <w:szCs w:val="20"/>
      <w14:ligatures w14:val="standardContextual"/>
    </w:rPr>
  </w:style>
  <w:style w:type="character" w:styleId="Referencakomentara">
    <w:name w:val="annotation reference"/>
    <w:basedOn w:val="Zadanifontodlomka"/>
    <w:uiPriority w:val="99"/>
    <w:semiHidden/>
    <w:unhideWhenUsed/>
    <w:rsid w:val="009369A1"/>
    <w:rPr>
      <w:sz w:val="16"/>
      <w:szCs w:val="16"/>
    </w:rPr>
  </w:style>
  <w:style w:type="character" w:customStyle="1" w:styleId="A2">
    <w:name w:val="A2"/>
    <w:uiPriority w:val="99"/>
    <w:rsid w:val="00F858FC"/>
    <w:rPr>
      <w:rFonts w:cs="Book Antiqua"/>
      <w:b/>
      <w:bCs/>
      <w:i/>
      <w:iCs/>
      <w:color w:val="221E1F"/>
      <w:sz w:val="18"/>
      <w:szCs w:val="18"/>
    </w:rPr>
  </w:style>
  <w:style w:type="character" w:customStyle="1" w:styleId="A10">
    <w:name w:val="A10"/>
    <w:uiPriority w:val="99"/>
    <w:rsid w:val="00F858FC"/>
    <w:rPr>
      <w:rFonts w:cs="Book Antiqua"/>
      <w:b/>
      <w:bCs/>
      <w:i/>
      <w:iCs/>
      <w:color w:val="221E1F"/>
      <w:sz w:val="10"/>
      <w:szCs w:val="10"/>
    </w:rPr>
  </w:style>
  <w:style w:type="character" w:customStyle="1" w:styleId="TijelotekstaChar">
    <w:name w:val="Tijelo teksta Char"/>
    <w:basedOn w:val="Zadanifontodlomka"/>
    <w:link w:val="Tijeloteksta"/>
    <w:uiPriority w:val="1"/>
    <w:rsid w:val="0055747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1852485">
      <w:bodyDiv w:val="1"/>
      <w:marLeft w:val="0"/>
      <w:marRight w:val="0"/>
      <w:marTop w:val="0"/>
      <w:marBottom w:val="0"/>
      <w:divBdr>
        <w:top w:val="none" w:sz="0" w:space="0" w:color="auto"/>
        <w:left w:val="none" w:sz="0" w:space="0" w:color="auto"/>
        <w:bottom w:val="none" w:sz="0" w:space="0" w:color="auto"/>
        <w:right w:val="none" w:sz="0" w:space="0" w:color="auto"/>
      </w:divBdr>
    </w:div>
    <w:div w:id="914246844">
      <w:bodyDiv w:val="1"/>
      <w:marLeft w:val="0"/>
      <w:marRight w:val="0"/>
      <w:marTop w:val="0"/>
      <w:marBottom w:val="0"/>
      <w:divBdr>
        <w:top w:val="none" w:sz="0" w:space="0" w:color="auto"/>
        <w:left w:val="none" w:sz="0" w:space="0" w:color="auto"/>
        <w:bottom w:val="none" w:sz="0" w:space="0" w:color="auto"/>
        <w:right w:val="none" w:sz="0" w:space="0" w:color="auto"/>
      </w:divBdr>
    </w:div>
    <w:div w:id="1369063131">
      <w:bodyDiv w:val="1"/>
      <w:marLeft w:val="0"/>
      <w:marRight w:val="0"/>
      <w:marTop w:val="0"/>
      <w:marBottom w:val="0"/>
      <w:divBdr>
        <w:top w:val="none" w:sz="0" w:space="0" w:color="auto"/>
        <w:left w:val="none" w:sz="0" w:space="0" w:color="auto"/>
        <w:bottom w:val="none" w:sz="0" w:space="0" w:color="auto"/>
        <w:right w:val="none" w:sz="0" w:space="0" w:color="auto"/>
      </w:divBdr>
    </w:div>
    <w:div w:id="1877546650">
      <w:bodyDiv w:val="1"/>
      <w:marLeft w:val="0"/>
      <w:marRight w:val="0"/>
      <w:marTop w:val="0"/>
      <w:marBottom w:val="0"/>
      <w:divBdr>
        <w:top w:val="none" w:sz="0" w:space="0" w:color="auto"/>
        <w:left w:val="none" w:sz="0" w:space="0" w:color="auto"/>
        <w:bottom w:val="none" w:sz="0" w:space="0" w:color="auto"/>
        <w:right w:val="none" w:sz="0" w:space="0" w:color="auto"/>
      </w:divBdr>
    </w:div>
    <w:div w:id="20684559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ortecpackaging.com/product/ecopouch/" TargetMode="External"/><Relationship Id="rId18" Type="http://schemas.openxmlformats.org/officeDocument/2006/relationships/hyperlink" Target="http://www.cortecvci.com/" TargetMode="External"/><Relationship Id="rId3" Type="http://schemas.openxmlformats.org/officeDocument/2006/relationships/styles" Target="styles.xml"/><Relationship Id="rId7" Type="http://schemas.openxmlformats.org/officeDocument/2006/relationships/hyperlink" Target="mailto:jholmquist@cortecvci.com" TargetMode="External"/><Relationship Id="rId12" Type="http://schemas.openxmlformats.org/officeDocument/2006/relationships/image" Target="media/image5.png"/><Relationship Id="rId17" Type="http://schemas.openxmlformats.org/officeDocument/2006/relationships/hyperlink" Target="http://www.cortecadvertising.com/" TargetMode="External"/><Relationship Id="rId2" Type="http://schemas.openxmlformats.org/officeDocument/2006/relationships/numbering" Target="numbering.xml"/><Relationship Id="rId16" Type="http://schemas.openxmlformats.org/officeDocument/2006/relationships/hyperlink" Target="https://www.cortecvci.com/contact-u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jholmquist@cortecvci.com"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ortecwatertreatment.com/product/vpci-649-ser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4EC50C-3CF9-40D2-BB7B-EA67FA3AA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781</Words>
  <Characters>4538</Characters>
  <Application>Microsoft Office Word</Application>
  <DocSecurity>0</DocSecurity>
  <Lines>100</Lines>
  <Paragraphs>25</Paragraphs>
  <ScaleCrop>false</ScaleCrop>
  <HeadingPairs>
    <vt:vector size="2" baseType="variant">
      <vt:variant>
        <vt:lpstr>Title</vt:lpstr>
      </vt:variant>
      <vt:variant>
        <vt:i4>1</vt:i4>
      </vt:variant>
    </vt:vector>
  </HeadingPairs>
  <TitlesOfParts>
    <vt:vector size="1" baseType="lpstr">
      <vt:lpstr>Editorial Contact:</vt:lpstr>
    </vt:vector>
  </TitlesOfParts>
  <Company>Cortec Corporation</Company>
  <LinksUpToDate>false</LinksUpToDate>
  <CharactersWithSpaces>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Editorial Contact:</dc:title>
  <dc:creator>Cortec Employee</dc:creator>
  <dc:description/>
  <cp:lastModifiedBy>Ana</cp:lastModifiedBy>
  <cp:revision>2</cp:revision>
  <cp:lastPrinted>2024-07-18T19:56:00Z</cp:lastPrinted>
  <dcterms:created xsi:type="dcterms:W3CDTF">2024-08-09T08:51:00Z</dcterms:created>
  <dcterms:modified xsi:type="dcterms:W3CDTF">2024-08-09T08:51:00Z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0x01010031361C287DBBA842B3A2929FB04F40F9</vt:lpwstr>
  </property>
  <property fmtid="{D5CDD505-2E9C-101B-9397-08002B2CF9AE}" pid="3" name="Created">
    <vt:filetime>2023-03-01T00:00:00Z</vt:filetime>
  </property>
  <property fmtid="{D5CDD505-2E9C-101B-9397-08002B2CF9AE}" pid="4" name="Creator">
    <vt:lpwstr>Acrobat PDFMaker 22 for Word</vt:lpwstr>
  </property>
  <property fmtid="{D5CDD505-2E9C-101B-9397-08002B2CF9AE}" pid="5" name="LastSaved">
    <vt:filetime>2023-03-01T00:00:00Z</vt:filetime>
  </property>
  <property fmtid="{D5CDD505-2E9C-101B-9397-08002B2CF9AE}" pid="6" name="Producer">
    <vt:lpwstr>Adobe PDF Library 22.3.98</vt:lpwstr>
  </property>
  <property fmtid="{D5CDD505-2E9C-101B-9397-08002B2CF9AE}" pid="7" name="SourceModified">
    <vt:lpwstr/>
  </property>
</Properties>
</file>