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4EB0B9F1"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08111393">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F9F0B6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CDA26D8" w:rsidR="007B1574" w:rsidRPr="00520C8E" w:rsidRDefault="00013F51"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60288" behindDoc="0" locked="0" layoutInCell="1" allowOverlap="1" wp14:anchorId="48F091CC" wp14:editId="080C1B17">
            <wp:simplePos x="0" y="0"/>
            <wp:positionH relativeFrom="column">
              <wp:posOffset>4146550</wp:posOffset>
            </wp:positionH>
            <wp:positionV relativeFrom="paragraph">
              <wp:posOffset>71755</wp:posOffset>
            </wp:positionV>
            <wp:extent cx="1732280" cy="397510"/>
            <wp:effectExtent l="0" t="0" r="1270" b="2540"/>
            <wp:wrapNone/>
            <wp:docPr id="180043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319" name="Picture 1"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280" cy="397510"/>
                    </a:xfrm>
                    <a:prstGeom prst="rect">
                      <a:avLst/>
                    </a:prstGeom>
                  </pic:spPr>
                </pic:pic>
              </a:graphicData>
            </a:graphic>
            <wp14:sizeRelV relativeFrom="margin">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82A95A2" w14:textId="27275B91" w:rsidR="006D4509" w:rsidRPr="00520C8E" w:rsidRDefault="006D4509" w:rsidP="006D4509">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D85920">
        <w:rPr>
          <w:rFonts w:ascii="Verdana" w:eastAsia="Times New Roman" w:hAnsi="Verdana"/>
          <w:b/>
          <w:color w:val="000000"/>
          <w:szCs w:val="24"/>
          <w:lang w:val="en-GB"/>
        </w:rPr>
        <w:t xml:space="preserve">groninger </w:t>
      </w:r>
    </w:p>
    <w:p w14:paraId="47263FFA" w14:textId="77777777" w:rsidR="00EF752A" w:rsidRDefault="006D4509" w:rsidP="00EF752A">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Pr>
          <w:rFonts w:ascii="Verdana" w:eastAsia="Times New Roman" w:hAnsi="Verdana"/>
          <w:color w:val="000000"/>
          <w:szCs w:val="24"/>
        </w:rPr>
        <w:tab/>
        <w:t>Christopher Dale</w:t>
      </w:r>
    </w:p>
    <w:p w14:paraId="44BB5180" w14:textId="5C936181" w:rsidR="006D4509" w:rsidRPr="00EF752A" w:rsidRDefault="00EF752A" w:rsidP="00EF752A">
      <w:pPr>
        <w:tabs>
          <w:tab w:val="left" w:pos="360"/>
          <w:tab w:val="left" w:pos="9180"/>
        </w:tabs>
        <w:spacing w:after="0" w:line="264" w:lineRule="auto"/>
        <w:ind w:left="-720" w:right="446"/>
        <w:rPr>
          <w:rFonts w:ascii="Verdana" w:eastAsia="Times New Roman" w:hAnsi="Verdana"/>
          <w:color w:val="000000"/>
          <w:szCs w:val="24"/>
        </w:rPr>
      </w:pPr>
      <w:r>
        <w:rPr>
          <w:rFonts w:ascii="Verdana" w:eastAsia="Times New Roman" w:hAnsi="Verdana"/>
          <w:b/>
          <w:color w:val="999999"/>
          <w:szCs w:val="24"/>
        </w:rPr>
        <w:tab/>
      </w:r>
      <w:r w:rsidR="006D4509" w:rsidRPr="00520C8E">
        <w:rPr>
          <w:rFonts w:ascii="Verdana" w:eastAsia="Times New Roman" w:hAnsi="Verdana"/>
          <w:szCs w:val="24"/>
        </w:rPr>
        <w:t>Turchette Agency</w:t>
      </w:r>
    </w:p>
    <w:p w14:paraId="32FB4030" w14:textId="77777777" w:rsidR="00EF752A" w:rsidRDefault="006D4509" w:rsidP="006D4509">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(973) 227-8080, ext. 116</w:t>
      </w:r>
    </w:p>
    <w:p w14:paraId="613279AF" w14:textId="1D1070F3" w:rsidR="006D4509" w:rsidRPr="00520C8E" w:rsidRDefault="00EF752A" w:rsidP="006D4509">
      <w:pPr>
        <w:tabs>
          <w:tab w:val="left" w:pos="360"/>
          <w:tab w:val="left" w:pos="9180"/>
        </w:tabs>
        <w:spacing w:after="0" w:line="264" w:lineRule="auto"/>
        <w:ind w:left="-720" w:right="450"/>
        <w:rPr>
          <w:rFonts w:ascii="Verdana" w:eastAsia="Times New Roman" w:hAnsi="Verdana"/>
          <w:color w:val="000000"/>
          <w:szCs w:val="24"/>
        </w:rPr>
      </w:pPr>
      <w:r>
        <w:rPr>
          <w:rFonts w:ascii="Verdana" w:eastAsia="Times New Roman" w:hAnsi="Verdana"/>
          <w:color w:val="000000"/>
          <w:szCs w:val="24"/>
        </w:rPr>
        <w:tab/>
      </w:r>
      <w:hyperlink r:id="rId9" w:history="1">
        <w:r w:rsidR="006D4509" w:rsidRPr="00520C8E">
          <w:rPr>
            <w:rFonts w:ascii="Verdana" w:eastAsia="Times New Roman" w:hAnsi="Verdana"/>
            <w:color w:val="0000FF"/>
            <w:szCs w:val="24"/>
            <w:u w:val="single"/>
          </w:rPr>
          <w:t>cdale@turchette.com</w:t>
        </w:r>
      </w:hyperlink>
      <w:r w:rsidR="006D4509" w:rsidRPr="00520C8E">
        <w:rPr>
          <w:rFonts w:ascii="Verdana" w:eastAsia="Times New Roman" w:hAnsi="Verdana"/>
          <w:color w:val="000000"/>
          <w:szCs w:val="24"/>
        </w:rPr>
        <w:tab/>
      </w:r>
    </w:p>
    <w:p w14:paraId="4DC9F58C" w14:textId="1A545A14" w:rsidR="00EF752A" w:rsidRDefault="00D85920" w:rsidP="00EF752A">
      <w:pPr>
        <w:tabs>
          <w:tab w:val="left" w:pos="360"/>
          <w:tab w:val="left" w:pos="9180"/>
        </w:tabs>
        <w:spacing w:before="240" w:after="0" w:line="264" w:lineRule="auto"/>
        <w:ind w:left="-720" w:right="446"/>
        <w:rPr>
          <w:rFonts w:ascii="Verdana" w:eastAsia="Times New Roman" w:hAnsi="Verdana"/>
          <w:color w:val="000000"/>
          <w:szCs w:val="24"/>
        </w:rPr>
      </w:pPr>
      <w:r>
        <w:rPr>
          <w:rFonts w:ascii="Verdana" w:eastAsia="Times New Roman" w:hAnsi="Verdana"/>
          <w:color w:val="000000"/>
        </w:rPr>
        <w:tab/>
        <w:t>Gisela Clark</w:t>
      </w:r>
    </w:p>
    <w:p w14:paraId="687314C6" w14:textId="7378AB45" w:rsidR="006D4509" w:rsidRPr="00520C8E" w:rsidRDefault="00D85920" w:rsidP="00EF752A">
      <w:pPr>
        <w:tabs>
          <w:tab w:val="left" w:pos="360"/>
          <w:tab w:val="left" w:pos="9180"/>
        </w:tabs>
        <w:spacing w:after="0" w:line="264" w:lineRule="auto"/>
        <w:ind w:left="-720" w:right="446"/>
        <w:rPr>
          <w:rFonts w:ascii="Verdana" w:eastAsia="Times New Roman" w:hAnsi="Verdana"/>
          <w:szCs w:val="24"/>
        </w:rPr>
      </w:pPr>
      <w:r>
        <w:rPr>
          <w:rFonts w:ascii="Verdana" w:eastAsia="Times New Roman" w:hAnsi="Verdana"/>
          <w:color w:val="000000"/>
          <w:szCs w:val="24"/>
        </w:rPr>
        <w:tab/>
      </w:r>
      <w:r w:rsidR="002D2F0D">
        <w:rPr>
          <w:rFonts w:ascii="Verdana" w:eastAsia="Times New Roman" w:hAnsi="Verdana"/>
          <w:color w:val="000000"/>
          <w:szCs w:val="24"/>
        </w:rPr>
        <w:t>g</w:t>
      </w:r>
      <w:r>
        <w:rPr>
          <w:rFonts w:ascii="Verdana" w:eastAsia="Times New Roman" w:hAnsi="Verdana"/>
          <w:color w:val="000000"/>
          <w:szCs w:val="24"/>
        </w:rPr>
        <w:t xml:space="preserve">roninger </w:t>
      </w:r>
    </w:p>
    <w:p w14:paraId="38D24C97" w14:textId="1C309650" w:rsidR="00EF752A" w:rsidRDefault="006D4509" w:rsidP="006D4509">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r w:rsidR="00D85920">
        <w:rPr>
          <w:rFonts w:ascii="Verdana" w:eastAsia="Times New Roman" w:hAnsi="Verdana"/>
          <w:color w:val="000000"/>
          <w:szCs w:val="24"/>
        </w:rPr>
        <w:t>(</w:t>
      </w:r>
      <w:r w:rsidR="00D85920" w:rsidRPr="00D85920">
        <w:rPr>
          <w:rFonts w:ascii="Verdana" w:eastAsia="Times New Roman" w:hAnsi="Verdana"/>
          <w:color w:val="000000"/>
          <w:szCs w:val="24"/>
        </w:rPr>
        <w:t>980</w:t>
      </w:r>
      <w:r w:rsidR="00D85920">
        <w:rPr>
          <w:rFonts w:ascii="Verdana" w:eastAsia="Times New Roman" w:hAnsi="Verdana"/>
          <w:color w:val="000000"/>
          <w:szCs w:val="24"/>
        </w:rPr>
        <w:t>)</w:t>
      </w:r>
      <w:r w:rsidR="00D85920" w:rsidRPr="00D85920">
        <w:rPr>
          <w:rFonts w:ascii="Verdana" w:eastAsia="Times New Roman" w:hAnsi="Verdana"/>
          <w:color w:val="000000"/>
          <w:szCs w:val="24"/>
        </w:rPr>
        <w:t xml:space="preserve"> 333</w:t>
      </w:r>
      <w:r w:rsidR="002D2F0D">
        <w:rPr>
          <w:rFonts w:ascii="Verdana" w:eastAsia="Times New Roman" w:hAnsi="Verdana"/>
          <w:color w:val="000000"/>
          <w:szCs w:val="24"/>
        </w:rPr>
        <w:t>-</w:t>
      </w:r>
      <w:r w:rsidR="00D85920" w:rsidRPr="00D85920">
        <w:rPr>
          <w:rFonts w:ascii="Verdana" w:eastAsia="Times New Roman" w:hAnsi="Verdana"/>
          <w:color w:val="000000"/>
          <w:szCs w:val="24"/>
        </w:rPr>
        <w:t>8545</w:t>
      </w:r>
    </w:p>
    <w:p w14:paraId="21F0E6D8" w14:textId="142BE10F" w:rsidR="006D4509" w:rsidRPr="00520C8E" w:rsidRDefault="00EF752A" w:rsidP="006D4509">
      <w:pPr>
        <w:tabs>
          <w:tab w:val="left" w:pos="360"/>
          <w:tab w:val="left" w:pos="9180"/>
        </w:tabs>
        <w:spacing w:after="0" w:line="264" w:lineRule="auto"/>
        <w:ind w:left="-720" w:right="450"/>
        <w:rPr>
          <w:rFonts w:ascii="Verdana" w:eastAsia="Times New Roman" w:hAnsi="Verdana"/>
          <w:color w:val="000000"/>
          <w:szCs w:val="24"/>
        </w:rPr>
      </w:pPr>
      <w:r>
        <w:rPr>
          <w:rFonts w:ascii="Verdana" w:eastAsia="Times New Roman" w:hAnsi="Verdana"/>
          <w:color w:val="000000"/>
          <w:szCs w:val="24"/>
        </w:rPr>
        <w:tab/>
      </w:r>
      <w:hyperlink r:id="rId10" w:history="1">
        <w:r w:rsidR="00D85920" w:rsidRPr="006325C6">
          <w:rPr>
            <w:rStyle w:val="Hyperlink"/>
            <w:rFonts w:ascii="Verdana" w:eastAsia="Times New Roman" w:hAnsi="Verdana"/>
            <w:szCs w:val="24"/>
          </w:rPr>
          <w:t>g.clark@groningerusa.com</w:t>
        </w:r>
      </w:hyperlink>
      <w:r w:rsidR="00D85920">
        <w:rPr>
          <w:rFonts w:ascii="Verdana" w:eastAsia="Times New Roman" w:hAnsi="Verdana"/>
          <w:color w:val="000000"/>
          <w:szCs w:val="24"/>
        </w:rPr>
        <w:t xml:space="preserve"> </w:t>
      </w:r>
    </w:p>
    <w:p w14:paraId="31D4AA10" w14:textId="77777777" w:rsidR="006D4509" w:rsidRDefault="006D4509" w:rsidP="006D4509">
      <w:pPr>
        <w:tabs>
          <w:tab w:val="left" w:pos="360"/>
          <w:tab w:val="left" w:pos="9180"/>
        </w:tabs>
        <w:spacing w:before="120" w:after="120" w:line="264" w:lineRule="auto"/>
        <w:ind w:left="-720" w:right="446"/>
        <w:rPr>
          <w:rFonts w:ascii="Verdana" w:eastAsia="Times New Roman" w:hAnsi="Verdana"/>
          <w:color w:val="000000"/>
          <w:szCs w:val="24"/>
        </w:rPr>
      </w:pPr>
      <w:r w:rsidRPr="00520C8E">
        <w:rPr>
          <w:rFonts w:ascii="Verdana" w:eastAsia="Times New Roman" w:hAnsi="Verdana"/>
          <w:color w:val="000000"/>
          <w:szCs w:val="24"/>
        </w:rPr>
        <w:tab/>
      </w:r>
    </w:p>
    <w:p w14:paraId="7664760E" w14:textId="7835215F" w:rsidR="00852D4D" w:rsidRDefault="00D2565F" w:rsidP="009F1C5A">
      <w:pPr>
        <w:pStyle w:val="Default"/>
        <w:spacing w:line="276" w:lineRule="auto"/>
        <w:jc w:val="center"/>
        <w:rPr>
          <w:rFonts w:ascii="Verdana" w:hAnsi="Verdana" w:cs="Verdana"/>
          <w:b/>
          <w:bCs/>
          <w:sz w:val="30"/>
          <w:szCs w:val="30"/>
        </w:rPr>
      </w:pPr>
      <w:r>
        <w:rPr>
          <w:rFonts w:ascii="Verdana" w:hAnsi="Verdana" w:cs="Verdana"/>
          <w:b/>
          <w:bCs/>
          <w:sz w:val="30"/>
          <w:szCs w:val="30"/>
        </w:rPr>
        <w:t xml:space="preserve">At Pack Expo, </w:t>
      </w:r>
      <w:r w:rsidR="00D76223">
        <w:rPr>
          <w:rFonts w:ascii="Verdana" w:hAnsi="Verdana" w:cs="Verdana"/>
          <w:b/>
          <w:bCs/>
          <w:sz w:val="30"/>
          <w:szCs w:val="30"/>
        </w:rPr>
        <w:t>groninger</w:t>
      </w:r>
      <w:r w:rsidR="003A4EA0">
        <w:rPr>
          <w:rFonts w:ascii="Verdana" w:hAnsi="Verdana" w:cs="Verdana"/>
          <w:b/>
          <w:bCs/>
          <w:sz w:val="30"/>
          <w:szCs w:val="30"/>
        </w:rPr>
        <w:t xml:space="preserve"> </w:t>
      </w:r>
      <w:r w:rsidR="00D76223">
        <w:rPr>
          <w:rFonts w:ascii="Verdana" w:hAnsi="Verdana" w:cs="Verdana"/>
          <w:b/>
          <w:bCs/>
          <w:sz w:val="30"/>
          <w:szCs w:val="30"/>
        </w:rPr>
        <w:t xml:space="preserve">to </w:t>
      </w:r>
      <w:r w:rsidR="0012556A">
        <w:rPr>
          <w:rFonts w:ascii="Verdana" w:hAnsi="Verdana" w:cs="Verdana"/>
          <w:b/>
          <w:bCs/>
          <w:sz w:val="30"/>
          <w:szCs w:val="30"/>
        </w:rPr>
        <w:t>Highlight</w:t>
      </w:r>
      <w:r w:rsidR="009E2B03">
        <w:rPr>
          <w:rFonts w:ascii="Verdana" w:hAnsi="Verdana" w:cs="Verdana"/>
          <w:b/>
          <w:bCs/>
          <w:sz w:val="30"/>
          <w:szCs w:val="30"/>
        </w:rPr>
        <w:t xml:space="preserve"> </w:t>
      </w:r>
    </w:p>
    <w:p w14:paraId="56F26782" w14:textId="12239917" w:rsidR="00852D4D" w:rsidRDefault="00852D4D" w:rsidP="009F1C5A">
      <w:pPr>
        <w:pStyle w:val="Default"/>
        <w:spacing w:line="276" w:lineRule="auto"/>
        <w:jc w:val="center"/>
        <w:rPr>
          <w:rFonts w:ascii="Verdana" w:hAnsi="Verdana" w:cs="Verdana"/>
          <w:b/>
          <w:bCs/>
          <w:sz w:val="30"/>
          <w:szCs w:val="30"/>
        </w:rPr>
      </w:pPr>
      <w:r>
        <w:rPr>
          <w:rFonts w:ascii="Verdana" w:hAnsi="Verdana" w:cs="Verdana"/>
          <w:b/>
          <w:bCs/>
          <w:sz w:val="30"/>
          <w:szCs w:val="30"/>
        </w:rPr>
        <w:t xml:space="preserve">Filling and Closing Unit </w:t>
      </w:r>
      <w:r w:rsidR="00FE39DF">
        <w:rPr>
          <w:rFonts w:ascii="Verdana" w:hAnsi="Verdana" w:cs="Verdana"/>
          <w:b/>
          <w:bCs/>
          <w:sz w:val="30"/>
          <w:szCs w:val="30"/>
        </w:rPr>
        <w:t>S</w:t>
      </w:r>
      <w:r w:rsidR="0012556A">
        <w:rPr>
          <w:rFonts w:ascii="Verdana" w:hAnsi="Verdana" w:cs="Verdana"/>
          <w:b/>
          <w:bCs/>
          <w:sz w:val="30"/>
          <w:szCs w:val="30"/>
        </w:rPr>
        <w:t>eries for</w:t>
      </w:r>
    </w:p>
    <w:p w14:paraId="5CC2F5AD" w14:textId="32A0E042" w:rsidR="00860169" w:rsidRPr="0037551A" w:rsidRDefault="00F5007F" w:rsidP="009F1C5A">
      <w:pPr>
        <w:pStyle w:val="Default"/>
        <w:spacing w:line="276" w:lineRule="auto"/>
        <w:jc w:val="center"/>
        <w:rPr>
          <w:rFonts w:ascii="Verdana" w:hAnsi="Verdana" w:cs="Verdana"/>
          <w:b/>
          <w:bCs/>
          <w:sz w:val="30"/>
          <w:szCs w:val="30"/>
        </w:rPr>
      </w:pPr>
      <w:r>
        <w:rPr>
          <w:rFonts w:ascii="Verdana" w:hAnsi="Verdana" w:cs="Verdana"/>
          <w:b/>
          <w:bCs/>
          <w:sz w:val="30"/>
          <w:szCs w:val="30"/>
        </w:rPr>
        <w:t>OTC Pharma and Diagnostics Products</w:t>
      </w:r>
    </w:p>
    <w:p w14:paraId="4C29735B" w14:textId="18632735" w:rsidR="00B24E13" w:rsidRPr="00A50A91" w:rsidRDefault="00B24E13" w:rsidP="00F92E0F">
      <w:pPr>
        <w:pStyle w:val="Default"/>
        <w:spacing w:after="60"/>
        <w:rPr>
          <w:rFonts w:ascii="Verdana" w:hAnsi="Verdana" w:cs="Verdana"/>
          <w:b/>
          <w:bCs/>
          <w:color w:val="auto"/>
          <w:sz w:val="20"/>
          <w:szCs w:val="20"/>
        </w:rPr>
      </w:pPr>
    </w:p>
    <w:p w14:paraId="2FBDAC4F" w14:textId="11C2428D" w:rsidR="009F1C5A" w:rsidRPr="009F1C5A" w:rsidRDefault="00852D4D" w:rsidP="009F1C5A">
      <w:pPr>
        <w:pStyle w:val="Default"/>
        <w:spacing w:line="288" w:lineRule="auto"/>
        <w:jc w:val="center"/>
        <w:rPr>
          <w:rFonts w:ascii="Verdana" w:hAnsi="Verdana"/>
          <w:b/>
          <w:bCs/>
          <w:i/>
          <w:iCs/>
          <w:sz w:val="20"/>
          <w:szCs w:val="20"/>
        </w:rPr>
      </w:pPr>
      <w:bookmarkStart w:id="0" w:name="_Hlk179904075"/>
      <w:r w:rsidRPr="009F1C5A">
        <w:rPr>
          <w:rFonts w:ascii="Verdana" w:hAnsi="Verdana" w:cs="Verdana"/>
          <w:b/>
          <w:bCs/>
          <w:i/>
          <w:iCs/>
          <w:color w:val="auto"/>
          <w:sz w:val="20"/>
          <w:szCs w:val="20"/>
        </w:rPr>
        <w:t xml:space="preserve">Company’s </w:t>
      </w:r>
      <w:r w:rsidR="00081E65">
        <w:rPr>
          <w:rFonts w:ascii="Verdana" w:hAnsi="Verdana" w:cs="Verdana"/>
          <w:b/>
          <w:bCs/>
          <w:i/>
          <w:iCs/>
          <w:color w:val="auto"/>
          <w:sz w:val="20"/>
          <w:szCs w:val="20"/>
        </w:rPr>
        <w:t>f</w:t>
      </w:r>
      <w:r w:rsidRPr="009F1C5A">
        <w:rPr>
          <w:rFonts w:ascii="Verdana" w:hAnsi="Verdana" w:cs="Verdana"/>
          <w:b/>
          <w:bCs/>
          <w:i/>
          <w:iCs/>
          <w:color w:val="auto"/>
          <w:sz w:val="20"/>
          <w:szCs w:val="20"/>
        </w:rPr>
        <w:t>lexcare 10</w:t>
      </w:r>
      <w:r w:rsidR="00F5007F">
        <w:rPr>
          <w:rFonts w:ascii="Verdana" w:hAnsi="Verdana" w:cs="Verdana"/>
          <w:b/>
          <w:bCs/>
          <w:i/>
          <w:iCs/>
          <w:color w:val="auto"/>
          <w:sz w:val="20"/>
          <w:szCs w:val="20"/>
        </w:rPr>
        <w:t>1</w:t>
      </w:r>
      <w:r w:rsidRPr="009F1C5A">
        <w:rPr>
          <w:rFonts w:ascii="Verdana" w:hAnsi="Verdana" w:cs="Verdana"/>
          <w:b/>
          <w:bCs/>
          <w:i/>
          <w:iCs/>
          <w:color w:val="auto"/>
          <w:sz w:val="20"/>
          <w:szCs w:val="20"/>
        </w:rPr>
        <w:t xml:space="preserve"> is part of a broader series of precision filling &amp; closing machines for glass </w:t>
      </w:r>
      <w:r w:rsidR="004C5225">
        <w:rPr>
          <w:rFonts w:ascii="Verdana" w:hAnsi="Verdana" w:cs="Verdana"/>
          <w:b/>
          <w:bCs/>
          <w:i/>
          <w:iCs/>
          <w:color w:val="auto"/>
          <w:sz w:val="20"/>
          <w:szCs w:val="20"/>
        </w:rPr>
        <w:t>or</w:t>
      </w:r>
      <w:r w:rsidRPr="009F1C5A">
        <w:rPr>
          <w:rFonts w:ascii="Verdana" w:hAnsi="Verdana" w:cs="Verdana"/>
          <w:b/>
          <w:bCs/>
          <w:i/>
          <w:iCs/>
          <w:color w:val="auto"/>
          <w:sz w:val="20"/>
          <w:szCs w:val="20"/>
        </w:rPr>
        <w:t xml:space="preserve"> plastic bottles of various sizes; </w:t>
      </w:r>
      <w:r w:rsidRPr="00A17DCE">
        <w:rPr>
          <w:rFonts w:ascii="Verdana" w:hAnsi="Verdana" w:cs="Verdana"/>
          <w:b/>
          <w:bCs/>
          <w:i/>
          <w:iCs/>
          <w:color w:val="auto"/>
          <w:sz w:val="20"/>
          <w:szCs w:val="20"/>
        </w:rPr>
        <w:t xml:space="preserve">groninger also will </w:t>
      </w:r>
      <w:r w:rsidR="00363FEB">
        <w:rPr>
          <w:rFonts w:ascii="Verdana" w:hAnsi="Verdana" w:cs="Verdana"/>
          <w:b/>
          <w:bCs/>
          <w:i/>
          <w:iCs/>
          <w:color w:val="auto"/>
          <w:sz w:val="20"/>
          <w:szCs w:val="20"/>
        </w:rPr>
        <w:t>highlight</w:t>
      </w:r>
      <w:r w:rsidR="00081E65" w:rsidRPr="00A17DCE">
        <w:rPr>
          <w:rFonts w:ascii="Verdana" w:hAnsi="Verdana" w:cs="Verdana"/>
          <w:b/>
          <w:bCs/>
          <w:i/>
          <w:iCs/>
          <w:color w:val="auto"/>
          <w:sz w:val="20"/>
          <w:szCs w:val="20"/>
        </w:rPr>
        <w:t xml:space="preserve"> </w:t>
      </w:r>
      <w:r w:rsidR="009F1C5A" w:rsidRPr="00A17DCE">
        <w:rPr>
          <w:rFonts w:ascii="Verdana" w:hAnsi="Verdana" w:cs="Verdana"/>
          <w:b/>
          <w:bCs/>
          <w:i/>
          <w:iCs/>
          <w:color w:val="auto"/>
          <w:sz w:val="20"/>
          <w:szCs w:val="20"/>
        </w:rPr>
        <w:t xml:space="preserve">filler-closer for ready-to-use </w:t>
      </w:r>
      <w:r w:rsidR="009F1C5A" w:rsidRPr="00A17DCE">
        <w:rPr>
          <w:rFonts w:ascii="Verdana" w:hAnsi="Verdana"/>
          <w:b/>
          <w:bCs/>
          <w:i/>
          <w:iCs/>
          <w:sz w:val="20"/>
          <w:szCs w:val="20"/>
        </w:rPr>
        <w:t>syringes, vials &amp; cartridges</w:t>
      </w:r>
      <w:r w:rsidR="004C5225" w:rsidRPr="00A17DCE">
        <w:rPr>
          <w:rFonts w:ascii="Verdana" w:hAnsi="Verdana"/>
          <w:b/>
          <w:bCs/>
          <w:i/>
          <w:iCs/>
          <w:sz w:val="20"/>
          <w:szCs w:val="20"/>
        </w:rPr>
        <w:t>.</w:t>
      </w:r>
    </w:p>
    <w:bookmarkEnd w:id="0"/>
    <w:p w14:paraId="13728210" w14:textId="77777777" w:rsidR="00CA2ADC" w:rsidRDefault="00CA2ADC" w:rsidP="00817CD6">
      <w:pPr>
        <w:pStyle w:val="Default"/>
        <w:spacing w:after="60" w:line="360" w:lineRule="auto"/>
        <w:jc w:val="center"/>
        <w:rPr>
          <w:rFonts w:ascii="Verdana" w:hAnsi="Verdana" w:cs="Verdana"/>
          <w:b/>
          <w:bCs/>
          <w:color w:val="auto"/>
          <w:sz w:val="20"/>
          <w:szCs w:val="20"/>
        </w:rPr>
      </w:pPr>
    </w:p>
    <w:p w14:paraId="0F6D046B" w14:textId="182BE3BB" w:rsidR="007C77C8" w:rsidRPr="000F3880" w:rsidRDefault="00D85920" w:rsidP="007C77C8">
      <w:pPr>
        <w:spacing w:after="0" w:line="360" w:lineRule="auto"/>
        <w:rPr>
          <w:rFonts w:ascii="Verdana" w:hAnsi="Verdana"/>
          <w:spacing w:val="-2"/>
        </w:rPr>
      </w:pPr>
      <w:r w:rsidRPr="000F3880">
        <w:rPr>
          <w:rFonts w:ascii="Verdana" w:hAnsi="Verdana"/>
          <w:i/>
          <w:iCs/>
          <w:spacing w:val="-2"/>
        </w:rPr>
        <w:t>Charlotte</w:t>
      </w:r>
      <w:r w:rsidR="00D76223" w:rsidRPr="000F3880">
        <w:rPr>
          <w:rFonts w:ascii="Verdana" w:hAnsi="Verdana"/>
          <w:i/>
          <w:iCs/>
          <w:spacing w:val="-2"/>
        </w:rPr>
        <w:t>,</w:t>
      </w:r>
      <w:r w:rsidRPr="000F3880">
        <w:rPr>
          <w:rFonts w:ascii="Verdana" w:hAnsi="Verdana"/>
          <w:i/>
          <w:iCs/>
          <w:spacing w:val="-2"/>
        </w:rPr>
        <w:t xml:space="preserve"> NC</w:t>
      </w:r>
      <w:r w:rsidR="00D76223" w:rsidRPr="000F3880">
        <w:rPr>
          <w:rFonts w:ascii="Verdana" w:hAnsi="Verdana"/>
          <w:spacing w:val="-2"/>
        </w:rPr>
        <w:t xml:space="preserve"> </w:t>
      </w:r>
      <w:r w:rsidR="00CF4704" w:rsidRPr="000F3880">
        <w:rPr>
          <w:rFonts w:ascii="Verdana" w:hAnsi="Verdana"/>
          <w:spacing w:val="-2"/>
        </w:rPr>
        <w:t>–</w:t>
      </w:r>
      <w:r w:rsidR="00CF4704" w:rsidRPr="000F3880">
        <w:rPr>
          <w:rFonts w:ascii="Verdana" w:hAnsi="Verdana"/>
          <w:b/>
          <w:bCs/>
          <w:spacing w:val="-2"/>
        </w:rPr>
        <w:t xml:space="preserve"> </w:t>
      </w:r>
      <w:r w:rsidR="00D76223" w:rsidRPr="000F3880">
        <w:rPr>
          <w:rFonts w:ascii="Verdana" w:hAnsi="Verdana" w:cs="Verdana"/>
          <w:b/>
          <w:bCs/>
          <w:spacing w:val="-2"/>
        </w:rPr>
        <w:t>groninger</w:t>
      </w:r>
      <w:r w:rsidR="004C40E5" w:rsidRPr="000F3880">
        <w:rPr>
          <w:rFonts w:ascii="Verdana" w:hAnsi="Verdana" w:cs="Verdana"/>
          <w:spacing w:val="-2"/>
        </w:rPr>
        <w:t xml:space="preserve">, </w:t>
      </w:r>
      <w:r w:rsidR="009E2B03" w:rsidRPr="000F3880">
        <w:rPr>
          <w:rFonts w:ascii="Verdana" w:hAnsi="Verdana" w:cs="Verdana"/>
          <w:spacing w:val="-2"/>
        </w:rPr>
        <w:t xml:space="preserve">a </w:t>
      </w:r>
      <w:r w:rsidR="00D76223" w:rsidRPr="000F3880">
        <w:rPr>
          <w:rFonts w:ascii="Verdana" w:hAnsi="Verdana"/>
          <w:spacing w:val="-2"/>
        </w:rPr>
        <w:t xml:space="preserve">leading manufacturer of filling and closing machines for the global pharmaceutical, consumer healthcare and cosmetics industries, will debut </w:t>
      </w:r>
      <w:r w:rsidR="00F5007F" w:rsidRPr="000F3880">
        <w:rPr>
          <w:rFonts w:ascii="Verdana" w:hAnsi="Verdana"/>
          <w:spacing w:val="-2"/>
        </w:rPr>
        <w:t xml:space="preserve">a flexible filling and closing line for medium- to high-volume OTC pharma and </w:t>
      </w:r>
      <w:r w:rsidR="00F5007F" w:rsidRPr="00545595">
        <w:rPr>
          <w:rFonts w:ascii="Verdana" w:hAnsi="Verdana"/>
          <w:spacing w:val="-2"/>
        </w:rPr>
        <w:t xml:space="preserve">diagnostics products requiring hygienic processing </w:t>
      </w:r>
      <w:r w:rsidR="00D76223" w:rsidRPr="00545595">
        <w:rPr>
          <w:rFonts w:ascii="Verdana" w:hAnsi="Verdana"/>
          <w:spacing w:val="-2"/>
        </w:rPr>
        <w:t xml:space="preserve">at </w:t>
      </w:r>
      <w:r w:rsidR="00D76223" w:rsidRPr="00545595">
        <w:rPr>
          <w:rFonts w:ascii="Verdana" w:hAnsi="Verdana"/>
          <w:b/>
          <w:bCs/>
          <w:spacing w:val="-2"/>
        </w:rPr>
        <w:t>Pack Expo 2024</w:t>
      </w:r>
      <w:r w:rsidR="00D76223" w:rsidRPr="00545595">
        <w:rPr>
          <w:rFonts w:ascii="Verdana" w:hAnsi="Verdana"/>
          <w:spacing w:val="-2"/>
        </w:rPr>
        <w:t xml:space="preserve">, November 3-6 in Chicago. At </w:t>
      </w:r>
      <w:r w:rsidR="00D76223" w:rsidRPr="00545595">
        <w:rPr>
          <w:rFonts w:ascii="Verdana" w:hAnsi="Verdana"/>
          <w:b/>
          <w:bCs/>
          <w:spacing w:val="-2"/>
        </w:rPr>
        <w:t>Booth W-17023</w:t>
      </w:r>
      <w:r w:rsidR="00D76223" w:rsidRPr="00545595">
        <w:rPr>
          <w:rFonts w:ascii="Verdana" w:hAnsi="Verdana"/>
          <w:spacing w:val="-2"/>
        </w:rPr>
        <w:t xml:space="preserve">, the company will </w:t>
      </w:r>
      <w:r w:rsidR="0012556A" w:rsidRPr="00545595">
        <w:rPr>
          <w:rFonts w:ascii="Verdana" w:hAnsi="Verdana"/>
          <w:spacing w:val="-2"/>
        </w:rPr>
        <w:t>be highlighting</w:t>
      </w:r>
      <w:r w:rsidR="00C10EC5" w:rsidRPr="00545595">
        <w:rPr>
          <w:rFonts w:ascii="Verdana" w:hAnsi="Verdana"/>
          <w:spacing w:val="-2"/>
        </w:rPr>
        <w:t xml:space="preserve"> the </w:t>
      </w:r>
      <w:r w:rsidR="00081E65" w:rsidRPr="00545595">
        <w:rPr>
          <w:rFonts w:ascii="Verdana" w:hAnsi="Verdana"/>
          <w:b/>
          <w:bCs/>
          <w:spacing w:val="-2"/>
        </w:rPr>
        <w:t>f</w:t>
      </w:r>
      <w:r w:rsidR="00C10EC5" w:rsidRPr="00545595">
        <w:rPr>
          <w:rFonts w:ascii="Verdana" w:hAnsi="Verdana"/>
          <w:b/>
          <w:bCs/>
          <w:spacing w:val="-2"/>
        </w:rPr>
        <w:t>lexcare 10</w:t>
      </w:r>
      <w:r w:rsidR="00F5007F" w:rsidRPr="00545595">
        <w:rPr>
          <w:rFonts w:ascii="Verdana" w:hAnsi="Verdana"/>
          <w:b/>
          <w:bCs/>
          <w:spacing w:val="-2"/>
        </w:rPr>
        <w:t>1</w:t>
      </w:r>
      <w:r w:rsidR="00F5007F" w:rsidRPr="00545595">
        <w:rPr>
          <w:rFonts w:ascii="Verdana" w:hAnsi="Verdana"/>
          <w:spacing w:val="-2"/>
        </w:rPr>
        <w:t>, developed to meet the heightened sterility requirements of cleanroom class products such as eye drops and nasal sprays.</w:t>
      </w:r>
      <w:r w:rsidR="00F5007F" w:rsidRPr="000F3880">
        <w:rPr>
          <w:rFonts w:ascii="Verdana" w:hAnsi="Verdana"/>
          <w:spacing w:val="-2"/>
        </w:rPr>
        <w:t xml:space="preserve"> </w:t>
      </w:r>
    </w:p>
    <w:p w14:paraId="4E128B97" w14:textId="77777777" w:rsidR="007C77C8" w:rsidRDefault="007C77C8" w:rsidP="007C77C8">
      <w:pPr>
        <w:spacing w:after="0" w:line="240" w:lineRule="auto"/>
        <w:rPr>
          <w:rFonts w:ascii="Verdana" w:hAnsi="Verdana"/>
        </w:rPr>
      </w:pPr>
    </w:p>
    <w:p w14:paraId="506FE7EF" w14:textId="0C18C968" w:rsidR="007C77C8" w:rsidRDefault="007C77C8" w:rsidP="007C77C8">
      <w:pPr>
        <w:spacing w:after="0" w:line="360" w:lineRule="auto"/>
        <w:rPr>
          <w:rFonts w:ascii="Verdana" w:hAnsi="Verdana"/>
          <w:spacing w:val="-2"/>
        </w:rPr>
      </w:pPr>
      <w:r>
        <w:rPr>
          <w:rFonts w:ascii="Verdana" w:hAnsi="Verdana"/>
        </w:rPr>
        <w:t xml:space="preserve">Capable of processing up </w:t>
      </w:r>
      <w:r w:rsidR="000F3880">
        <w:rPr>
          <w:rFonts w:ascii="Verdana" w:hAnsi="Verdana"/>
        </w:rPr>
        <w:t>to</w:t>
      </w:r>
      <w:r>
        <w:rPr>
          <w:rFonts w:ascii="Verdana" w:hAnsi="Verdana"/>
        </w:rPr>
        <w:t xml:space="preserve"> 120</w:t>
      </w:r>
      <w:r w:rsidR="000F3880">
        <w:rPr>
          <w:rFonts w:ascii="Verdana" w:hAnsi="Verdana"/>
        </w:rPr>
        <w:t xml:space="preserve"> glass or plastic bottles</w:t>
      </w:r>
      <w:r>
        <w:rPr>
          <w:rFonts w:ascii="Verdana" w:hAnsi="Verdana"/>
        </w:rPr>
        <w:t xml:space="preserve"> per minute, groninger’s </w:t>
      </w:r>
      <w:r w:rsidR="00A17DCE">
        <w:rPr>
          <w:rFonts w:ascii="Verdana" w:hAnsi="Verdana"/>
        </w:rPr>
        <w:t xml:space="preserve">GMP-compliant </w:t>
      </w:r>
      <w:r>
        <w:rPr>
          <w:rFonts w:ascii="Verdana" w:hAnsi="Verdana"/>
        </w:rPr>
        <w:t>flexc</w:t>
      </w:r>
      <w:bookmarkStart w:id="1" w:name="_GoBack"/>
      <w:bookmarkEnd w:id="1"/>
      <w:r>
        <w:rPr>
          <w:rFonts w:ascii="Verdana" w:hAnsi="Verdana"/>
        </w:rPr>
        <w:t xml:space="preserve">are 101 </w:t>
      </w:r>
      <w:r w:rsidRPr="00852D4D">
        <w:rPr>
          <w:rFonts w:ascii="Verdana" w:hAnsi="Verdana"/>
          <w:spacing w:val="-2"/>
        </w:rPr>
        <w:t xml:space="preserve">ensures hygienic, low-particle conditions throughout the filling and capping process. </w:t>
      </w:r>
      <w:r>
        <w:rPr>
          <w:rFonts w:ascii="Verdana" w:hAnsi="Verdana"/>
          <w:spacing w:val="-2"/>
        </w:rPr>
        <w:t xml:space="preserve">The machine </w:t>
      </w:r>
      <w:r w:rsidRPr="00852D4D">
        <w:rPr>
          <w:rFonts w:ascii="Verdana" w:hAnsi="Verdana"/>
          <w:spacing w:val="-2"/>
        </w:rPr>
        <w:t>also stands out for its versatility</w:t>
      </w:r>
      <w:r>
        <w:rPr>
          <w:rFonts w:ascii="Verdana" w:hAnsi="Verdana"/>
          <w:spacing w:val="-2"/>
        </w:rPr>
        <w:t xml:space="preserve">, and a </w:t>
      </w:r>
      <w:r w:rsidRPr="007C77C8">
        <w:rPr>
          <w:rFonts w:ascii="Verdana" w:hAnsi="Verdana"/>
          <w:spacing w:val="-2"/>
        </w:rPr>
        <w:t>moving filling needle</w:t>
      </w:r>
      <w:r>
        <w:rPr>
          <w:rFonts w:ascii="Verdana" w:hAnsi="Verdana"/>
          <w:spacing w:val="-2"/>
        </w:rPr>
        <w:t xml:space="preserve"> supports increased output. Other attributes include </w:t>
      </w:r>
      <w:r w:rsidRPr="007C77C8">
        <w:rPr>
          <w:rFonts w:ascii="Verdana" w:hAnsi="Verdana"/>
          <w:spacing w:val="-2"/>
        </w:rPr>
        <w:t>continuous weld</w:t>
      </w:r>
      <w:r w:rsidR="00634FFD">
        <w:rPr>
          <w:rFonts w:ascii="Verdana" w:hAnsi="Verdana"/>
          <w:spacing w:val="-2"/>
        </w:rPr>
        <w:t>s</w:t>
      </w:r>
      <w:r w:rsidRPr="007C77C8">
        <w:rPr>
          <w:rFonts w:ascii="Verdana" w:hAnsi="Verdana"/>
          <w:spacing w:val="-2"/>
        </w:rPr>
        <w:t xml:space="preserve"> on </w:t>
      </w:r>
      <w:r w:rsidR="00634FFD">
        <w:rPr>
          <w:rFonts w:ascii="Verdana" w:hAnsi="Verdana"/>
          <w:spacing w:val="-2"/>
        </w:rPr>
        <w:t xml:space="preserve">the </w:t>
      </w:r>
      <w:r w:rsidRPr="007C77C8">
        <w:rPr>
          <w:rFonts w:ascii="Verdana" w:hAnsi="Verdana"/>
          <w:spacing w:val="-2"/>
        </w:rPr>
        <w:t>sorting bowls for</w:t>
      </w:r>
      <w:r>
        <w:rPr>
          <w:rFonts w:ascii="Verdana" w:hAnsi="Verdana"/>
          <w:spacing w:val="-2"/>
        </w:rPr>
        <w:t xml:space="preserve"> enhanced</w:t>
      </w:r>
      <w:r w:rsidRPr="007C77C8">
        <w:rPr>
          <w:rFonts w:ascii="Verdana" w:hAnsi="Verdana"/>
          <w:spacing w:val="-2"/>
        </w:rPr>
        <w:t xml:space="preserve"> cleanability</w:t>
      </w:r>
      <w:r>
        <w:rPr>
          <w:rFonts w:ascii="Verdana" w:hAnsi="Verdana"/>
          <w:spacing w:val="-2"/>
        </w:rPr>
        <w:t>, pharma-grade design materials for consistent hygiene, and i</w:t>
      </w:r>
      <w:r w:rsidRPr="007C77C8">
        <w:rPr>
          <w:rFonts w:ascii="Verdana" w:hAnsi="Verdana"/>
          <w:spacing w:val="-2"/>
        </w:rPr>
        <w:t>nspection stations</w:t>
      </w:r>
      <w:r w:rsidR="00363FEB">
        <w:rPr>
          <w:rFonts w:ascii="Verdana" w:hAnsi="Verdana"/>
          <w:spacing w:val="-2"/>
        </w:rPr>
        <w:t xml:space="preserve"> that</w:t>
      </w:r>
      <w:r w:rsidR="00634FFD">
        <w:rPr>
          <w:rFonts w:ascii="Verdana" w:hAnsi="Verdana"/>
          <w:spacing w:val="-2"/>
        </w:rPr>
        <w:t xml:space="preserve"> ensure all packaging components have been properly applied.</w:t>
      </w:r>
    </w:p>
    <w:p w14:paraId="19706383" w14:textId="77777777" w:rsidR="007C77C8" w:rsidRPr="007C77C8" w:rsidRDefault="007C77C8" w:rsidP="007C77C8">
      <w:pPr>
        <w:spacing w:after="0" w:line="240" w:lineRule="auto"/>
        <w:rPr>
          <w:rFonts w:ascii="Verdana" w:hAnsi="Verdana"/>
          <w:spacing w:val="-2"/>
        </w:rPr>
      </w:pPr>
    </w:p>
    <w:p w14:paraId="53518D62" w14:textId="18B9749C" w:rsidR="007C77C8" w:rsidRPr="007C77C8" w:rsidRDefault="007C77C8" w:rsidP="007C77C8">
      <w:pPr>
        <w:spacing w:after="0" w:line="360" w:lineRule="auto"/>
        <w:rPr>
          <w:rFonts w:ascii="Verdana" w:hAnsi="Verdana"/>
          <w:spacing w:val="-2"/>
        </w:rPr>
      </w:pPr>
      <w:r w:rsidRPr="007C77C8">
        <w:rPr>
          <w:rFonts w:ascii="Verdana" w:hAnsi="Verdana"/>
          <w:spacing w:val="-2"/>
        </w:rPr>
        <w:lastRenderedPageBreak/>
        <w:t>The flexcare 101 also is notable for its ergonomics. The module’s hinged outflow openings offer efficient operator access, and integrated IoT features such as energy monitoring, process capability and overall equipment efficiency (OEE) are clearly laid out</w:t>
      </w:r>
      <w:r w:rsidR="000F3880">
        <w:rPr>
          <w:rFonts w:ascii="Verdana" w:hAnsi="Verdana"/>
          <w:spacing w:val="-2"/>
        </w:rPr>
        <w:t xml:space="preserve"> on an intuitive</w:t>
      </w:r>
      <w:r w:rsidRPr="007C77C8">
        <w:rPr>
          <w:rFonts w:ascii="Verdana" w:hAnsi="Verdana"/>
          <w:spacing w:val="-2"/>
        </w:rPr>
        <w:t xml:space="preserve"> HMI dashboard.</w:t>
      </w:r>
    </w:p>
    <w:p w14:paraId="5FC8A160" w14:textId="2B46E4EE" w:rsidR="007C77C8" w:rsidRDefault="007C77C8" w:rsidP="007C77C8">
      <w:pPr>
        <w:spacing w:after="0" w:line="240" w:lineRule="auto"/>
        <w:rPr>
          <w:rFonts w:ascii="Verdana" w:hAnsi="Verdana"/>
          <w:spacing w:val="-2"/>
        </w:rPr>
      </w:pPr>
    </w:p>
    <w:p w14:paraId="40D2C3F9" w14:textId="7CF0282B" w:rsidR="00A17DCE" w:rsidRPr="00052693" w:rsidRDefault="00A17DCE" w:rsidP="00A17DCE">
      <w:pPr>
        <w:spacing w:after="0" w:line="360" w:lineRule="auto"/>
        <w:rPr>
          <w:rFonts w:ascii="Verdana" w:hAnsi="Verdana" w:cs="Verdana"/>
          <w:strike/>
          <w:spacing w:val="-2"/>
        </w:rPr>
      </w:pPr>
      <w:r w:rsidRPr="00852D4D">
        <w:rPr>
          <w:rFonts w:ascii="Verdana" w:hAnsi="Verdana" w:cs="Arial"/>
        </w:rPr>
        <w:t>"Considering their high-</w:t>
      </w:r>
      <w:r w:rsidR="00F93E7D">
        <w:rPr>
          <w:rFonts w:ascii="Verdana" w:hAnsi="Verdana" w:cs="Arial"/>
        </w:rPr>
        <w:t>value</w:t>
      </w:r>
      <w:r w:rsidRPr="00852D4D">
        <w:rPr>
          <w:rFonts w:ascii="Verdana" w:hAnsi="Verdana" w:cs="Arial"/>
        </w:rPr>
        <w:t xml:space="preserve"> products, our customers are increasingly requesting GMP-</w:t>
      </w:r>
      <w:r w:rsidRPr="000A2D85">
        <w:rPr>
          <w:rFonts w:ascii="Verdana" w:hAnsi="Verdana" w:cs="Verdana"/>
          <w:spacing w:val="-2"/>
        </w:rPr>
        <w:t xml:space="preserve">compliant machines that are ergonomic, easy to clean and flexible – all without compromising precision and high throughput,” said Otto Helmle, </w:t>
      </w:r>
      <w:r w:rsidR="00545595">
        <w:rPr>
          <w:rFonts w:ascii="Verdana" w:hAnsi="Verdana" w:cs="Verdana"/>
          <w:spacing w:val="-2"/>
        </w:rPr>
        <w:t>Vice President of Sales</w:t>
      </w:r>
      <w:r w:rsidRPr="000A2D85">
        <w:rPr>
          <w:rFonts w:ascii="Verdana" w:hAnsi="Verdana" w:cs="Verdana"/>
          <w:spacing w:val="-2"/>
        </w:rPr>
        <w:t xml:space="preserve"> for the groninger Consumer Healthcare &amp; Cosmetics division. “The flexcare 101 meets and exceeds these requirements, testament to our decades of experience designing and</w:t>
      </w:r>
      <w:r w:rsidRPr="00852D4D">
        <w:rPr>
          <w:rFonts w:ascii="Verdana" w:hAnsi="Verdana" w:cs="Arial"/>
        </w:rPr>
        <w:t xml:space="preserve"> manufacturing high-performance, pharma-grade processing and packaging equipment.”</w:t>
      </w:r>
      <w:r w:rsidR="00192B2C">
        <w:rPr>
          <w:rFonts w:ascii="Verdana" w:hAnsi="Verdana" w:cs="Arial"/>
        </w:rPr>
        <w:t xml:space="preserve"> </w:t>
      </w:r>
      <w:r w:rsidR="00052693" w:rsidRPr="00052693">
        <w:rPr>
          <w:rFonts w:ascii="Verdana" w:hAnsi="Verdana" w:cs="Verdana"/>
          <w:spacing w:val="-2"/>
        </w:rPr>
        <w:t>Other models are available in the flexca</w:t>
      </w:r>
      <w:r w:rsidR="00634FFD">
        <w:rPr>
          <w:rFonts w:ascii="Verdana" w:hAnsi="Verdana" w:cs="Verdana"/>
          <w:spacing w:val="-2"/>
        </w:rPr>
        <w:t>r</w:t>
      </w:r>
      <w:r w:rsidR="00052693" w:rsidRPr="00052693">
        <w:rPr>
          <w:rFonts w:ascii="Verdana" w:hAnsi="Verdana" w:cs="Verdana"/>
          <w:spacing w:val="-2"/>
        </w:rPr>
        <w:t xml:space="preserve">e series for higher speeds. </w:t>
      </w:r>
    </w:p>
    <w:p w14:paraId="6A8C9774" w14:textId="77777777" w:rsidR="00A17DCE" w:rsidRPr="00052693" w:rsidRDefault="00A17DCE" w:rsidP="00A17DCE">
      <w:pPr>
        <w:spacing w:after="0" w:line="240" w:lineRule="auto"/>
        <w:rPr>
          <w:rFonts w:ascii="Verdana" w:hAnsi="Verdana" w:cs="Verdana"/>
        </w:rPr>
      </w:pPr>
    </w:p>
    <w:p w14:paraId="73538B23" w14:textId="4EC1EABD" w:rsidR="00BE32CB" w:rsidRPr="00852D4D" w:rsidRDefault="00A17DCE" w:rsidP="00BE32CB">
      <w:pPr>
        <w:spacing w:after="0" w:line="360" w:lineRule="auto"/>
        <w:rPr>
          <w:rFonts w:ascii="Verdana" w:hAnsi="Verdana" w:cs="HelveticaNeueLTPro-Roman"/>
          <w:color w:val="262626"/>
        </w:rPr>
      </w:pPr>
      <w:r>
        <w:rPr>
          <w:rFonts w:ascii="Verdana" w:hAnsi="Verdana" w:cs="Verdana"/>
        </w:rPr>
        <w:t>Another series standout</w:t>
      </w:r>
      <w:r w:rsidR="0012556A">
        <w:rPr>
          <w:rFonts w:ascii="Verdana" w:hAnsi="Verdana" w:cs="Verdana"/>
        </w:rPr>
        <w:t xml:space="preserve"> that will be on display with live demonstrations at Pack Expo 2024</w:t>
      </w:r>
      <w:r>
        <w:rPr>
          <w:rFonts w:ascii="Verdana" w:hAnsi="Verdana" w:cs="Verdana"/>
        </w:rPr>
        <w:t xml:space="preserve"> is the </w:t>
      </w:r>
      <w:r w:rsidR="00081E65" w:rsidRPr="00A17DCE">
        <w:rPr>
          <w:rFonts w:ascii="Verdana" w:hAnsi="Verdana"/>
          <w:b/>
          <w:bCs/>
        </w:rPr>
        <w:t>f</w:t>
      </w:r>
      <w:r w:rsidR="00A57972" w:rsidRPr="00A17DCE">
        <w:rPr>
          <w:rFonts w:ascii="Verdana" w:hAnsi="Verdana"/>
          <w:b/>
          <w:bCs/>
        </w:rPr>
        <w:t>lexcare 10</w:t>
      </w:r>
      <w:r>
        <w:rPr>
          <w:rFonts w:ascii="Verdana" w:hAnsi="Verdana"/>
        </w:rPr>
        <w:t xml:space="preserve">, </w:t>
      </w:r>
      <w:r w:rsidR="000F3880">
        <w:rPr>
          <w:rFonts w:ascii="Verdana" w:hAnsi="Verdana"/>
        </w:rPr>
        <w:t>a</w:t>
      </w:r>
      <w:r>
        <w:rPr>
          <w:rFonts w:ascii="Verdana" w:hAnsi="Verdana"/>
        </w:rPr>
        <w:t xml:space="preserve"> small-footprint unit</w:t>
      </w:r>
      <w:r w:rsidR="000F3880">
        <w:rPr>
          <w:rFonts w:ascii="Verdana" w:hAnsi="Verdana"/>
        </w:rPr>
        <w:t xml:space="preserve"> that</w:t>
      </w:r>
      <w:r>
        <w:rPr>
          <w:rFonts w:ascii="Verdana" w:hAnsi="Verdana"/>
        </w:rPr>
        <w:t xml:space="preserve"> can fill and close up to </w:t>
      </w:r>
      <w:r w:rsidRPr="00852D4D">
        <w:rPr>
          <w:rFonts w:ascii="Verdana" w:hAnsi="Verdana"/>
        </w:rPr>
        <w:t xml:space="preserve">70 non-sterile glass </w:t>
      </w:r>
      <w:r>
        <w:rPr>
          <w:rFonts w:ascii="Verdana" w:hAnsi="Verdana"/>
        </w:rPr>
        <w:t>or</w:t>
      </w:r>
      <w:r w:rsidRPr="00852D4D">
        <w:rPr>
          <w:rFonts w:ascii="Verdana" w:hAnsi="Verdana"/>
        </w:rPr>
        <w:t xml:space="preserve"> plastic bottles per minute.</w:t>
      </w:r>
      <w:r>
        <w:rPr>
          <w:rFonts w:ascii="Verdana" w:hAnsi="Verdana"/>
        </w:rPr>
        <w:t xml:space="preserve"> </w:t>
      </w:r>
      <w:r w:rsidR="000F3880">
        <w:rPr>
          <w:rFonts w:ascii="Verdana" w:hAnsi="Verdana"/>
        </w:rPr>
        <w:t>M</w:t>
      </w:r>
      <w:r w:rsidR="00C10EC5" w:rsidRPr="00852D4D">
        <w:rPr>
          <w:rFonts w:ascii="Verdana" w:hAnsi="Verdana"/>
        </w:rPr>
        <w:t xml:space="preserve">ultifunctional for increased versatility and expedited ROI, the </w:t>
      </w:r>
      <w:r w:rsidR="001E7F16" w:rsidRPr="00852D4D">
        <w:rPr>
          <w:rFonts w:ascii="Verdana" w:hAnsi="Verdana"/>
        </w:rPr>
        <w:t>module</w:t>
      </w:r>
      <w:r w:rsidR="00C10EC5" w:rsidRPr="00852D4D">
        <w:rPr>
          <w:rFonts w:ascii="Verdana" w:hAnsi="Verdana"/>
        </w:rPr>
        <w:t xml:space="preserve"> offers a GMP-friendly design and 100% in-process </w:t>
      </w:r>
      <w:r w:rsidR="00FC3C9F">
        <w:rPr>
          <w:rFonts w:ascii="Verdana" w:hAnsi="Verdana"/>
        </w:rPr>
        <w:t>checkweighing</w:t>
      </w:r>
      <w:r w:rsidR="001E7F16" w:rsidRPr="00852D4D">
        <w:rPr>
          <w:rFonts w:ascii="Verdana" w:hAnsi="Verdana"/>
        </w:rPr>
        <w:t>, as well as</w:t>
      </w:r>
      <w:r w:rsidR="00FE2E96" w:rsidRPr="00852D4D">
        <w:rPr>
          <w:rFonts w:ascii="Verdana" w:hAnsi="Verdana"/>
        </w:rPr>
        <w:t xml:space="preserve"> options for gassing either </w:t>
      </w:r>
      <w:r w:rsidR="001E7F16" w:rsidRPr="00852D4D">
        <w:rPr>
          <w:rFonts w:ascii="Verdana" w:hAnsi="Verdana"/>
        </w:rPr>
        <w:t xml:space="preserve">before or after </w:t>
      </w:r>
      <w:r w:rsidR="00FE2E96" w:rsidRPr="00852D4D">
        <w:rPr>
          <w:rFonts w:ascii="Verdana" w:hAnsi="Verdana"/>
        </w:rPr>
        <w:t>filling</w:t>
      </w:r>
      <w:r w:rsidR="00052693">
        <w:rPr>
          <w:rFonts w:ascii="Verdana" w:hAnsi="Verdana"/>
        </w:rPr>
        <w:t>, and optional</w:t>
      </w:r>
      <w:r w:rsidR="00052693" w:rsidRPr="00852D4D">
        <w:rPr>
          <w:rFonts w:ascii="Verdana" w:hAnsi="Verdana" w:cs="Arial"/>
        </w:rPr>
        <w:t xml:space="preserve"> </w:t>
      </w:r>
      <w:r w:rsidR="00052693" w:rsidRPr="00852D4D">
        <w:rPr>
          <w:rFonts w:ascii="Verdana" w:hAnsi="Verdana" w:cs="HelveticaNeueLTPro-Roman"/>
          <w:color w:val="262626"/>
        </w:rPr>
        <w:t>dropper and spray pump insertion capabilities</w:t>
      </w:r>
      <w:r w:rsidR="00FE2E96" w:rsidRPr="00852D4D">
        <w:rPr>
          <w:rFonts w:ascii="Verdana" w:hAnsi="Verdana"/>
        </w:rPr>
        <w:t xml:space="preserve">. The </w:t>
      </w:r>
      <w:r w:rsidR="00081E65">
        <w:rPr>
          <w:rFonts w:ascii="Verdana" w:hAnsi="Verdana"/>
        </w:rPr>
        <w:t>f</w:t>
      </w:r>
      <w:r w:rsidR="001E7F16" w:rsidRPr="00852D4D">
        <w:rPr>
          <w:rFonts w:ascii="Verdana" w:hAnsi="Verdana"/>
        </w:rPr>
        <w:t>lexcare 10</w:t>
      </w:r>
      <w:r w:rsidR="00FE2E96" w:rsidRPr="00852D4D">
        <w:rPr>
          <w:rFonts w:ascii="Verdana" w:hAnsi="Verdana"/>
        </w:rPr>
        <w:t xml:space="preserve"> can fill </w:t>
      </w:r>
      <w:r w:rsidR="001E7F16" w:rsidRPr="00852D4D">
        <w:rPr>
          <w:rFonts w:ascii="Verdana" w:hAnsi="Verdana"/>
        </w:rPr>
        <w:t xml:space="preserve">via </w:t>
      </w:r>
      <w:r w:rsidR="00FE2E96" w:rsidRPr="00852D4D">
        <w:rPr>
          <w:rFonts w:ascii="Verdana" w:hAnsi="Verdana" w:cs="Arial"/>
        </w:rPr>
        <w:t>rotary piston or peristaltic pump</w:t>
      </w:r>
      <w:r w:rsidR="004C5225">
        <w:rPr>
          <w:rFonts w:ascii="Verdana" w:hAnsi="Verdana" w:cs="Arial"/>
        </w:rPr>
        <w:t>s</w:t>
      </w:r>
      <w:r w:rsidR="00FE2E96" w:rsidRPr="00852D4D">
        <w:rPr>
          <w:rFonts w:ascii="Verdana" w:hAnsi="Verdana" w:cs="Arial"/>
        </w:rPr>
        <w:t xml:space="preserve">, and handle products with up to two closing components. </w:t>
      </w:r>
      <w:r w:rsidR="00052693">
        <w:rPr>
          <w:rFonts w:ascii="Verdana" w:hAnsi="Verdana" w:cs="Arial"/>
        </w:rPr>
        <w:t>Standard s</w:t>
      </w:r>
      <w:r w:rsidR="006315A2" w:rsidRPr="00852D4D">
        <w:rPr>
          <w:rFonts w:ascii="Verdana" w:hAnsi="Verdana" w:cs="HelveticaNeueLTPro-Roman"/>
          <w:color w:val="262626"/>
        </w:rPr>
        <w:t>erv</w:t>
      </w:r>
      <w:r w:rsidR="007B692A" w:rsidRPr="00852D4D">
        <w:rPr>
          <w:rFonts w:ascii="Verdana" w:hAnsi="Verdana" w:cs="HelveticaNeueLTPro-Roman"/>
          <w:color w:val="262626"/>
        </w:rPr>
        <w:t>o</w:t>
      </w:r>
      <w:r w:rsidR="006315A2" w:rsidRPr="00852D4D">
        <w:rPr>
          <w:rFonts w:ascii="Verdana" w:hAnsi="Verdana" w:cs="HelveticaNeueLTPro-Roman"/>
          <w:color w:val="262626"/>
        </w:rPr>
        <w:t xml:space="preserve"> motor-driven pre- and post-</w:t>
      </w:r>
      <w:r w:rsidRPr="00852D4D">
        <w:rPr>
          <w:rFonts w:ascii="Verdana" w:hAnsi="Verdana" w:cs="HelveticaNeueLTPro-Roman"/>
          <w:color w:val="262626"/>
        </w:rPr>
        <w:t>torquing</w:t>
      </w:r>
      <w:r w:rsidR="00052693">
        <w:rPr>
          <w:rFonts w:ascii="Verdana" w:hAnsi="Verdana" w:cs="HelveticaNeueLTPro-Roman"/>
          <w:color w:val="262626"/>
        </w:rPr>
        <w:t xml:space="preserve"> ensures precise torque control of caps</w:t>
      </w:r>
      <w:r w:rsidR="006315A2" w:rsidRPr="00852D4D">
        <w:rPr>
          <w:rFonts w:ascii="Verdana" w:hAnsi="Verdana" w:cs="HelveticaNeueLTPro-Roman"/>
          <w:color w:val="262626"/>
        </w:rPr>
        <w:t xml:space="preserve">. </w:t>
      </w:r>
    </w:p>
    <w:p w14:paraId="5A07E924" w14:textId="77777777" w:rsidR="00D76223" w:rsidRPr="00852D4D" w:rsidRDefault="00D76223" w:rsidP="00A17DCE">
      <w:pPr>
        <w:spacing w:after="60" w:line="240" w:lineRule="auto"/>
        <w:rPr>
          <w:rFonts w:ascii="Verdana" w:hAnsi="Verdana" w:cs="Verdana"/>
        </w:rPr>
      </w:pPr>
    </w:p>
    <w:p w14:paraId="6B91398C" w14:textId="77777777" w:rsidR="00A07CA1" w:rsidRPr="00852D4D" w:rsidRDefault="00A07CA1" w:rsidP="00A17DCE">
      <w:pPr>
        <w:spacing w:after="120" w:line="360" w:lineRule="auto"/>
        <w:rPr>
          <w:rFonts w:ascii="Verdana" w:hAnsi="Verdana" w:cs="Arial"/>
          <w:b/>
          <w:bCs/>
        </w:rPr>
      </w:pPr>
      <w:r w:rsidRPr="00852D4D">
        <w:rPr>
          <w:rFonts w:ascii="Verdana" w:hAnsi="Verdana" w:cs="Arial"/>
          <w:b/>
          <w:bCs/>
        </w:rPr>
        <w:t>Filling and closing machine for ready-to-use syringes, vials and cartridges</w:t>
      </w:r>
    </w:p>
    <w:p w14:paraId="6560C591" w14:textId="31A0B26E" w:rsidR="00E5044F" w:rsidRPr="00852D4D" w:rsidRDefault="00A07CA1" w:rsidP="00E5044F">
      <w:pPr>
        <w:spacing w:after="0" w:line="360" w:lineRule="auto"/>
        <w:rPr>
          <w:rFonts w:ascii="Verdana" w:hAnsi="Verdana" w:cs="Arial"/>
          <w:spacing w:val="-2"/>
        </w:rPr>
      </w:pPr>
      <w:r w:rsidRPr="00852D4D">
        <w:rPr>
          <w:rFonts w:ascii="Verdana" w:hAnsi="Verdana" w:cs="Arial"/>
          <w:spacing w:val="-2"/>
        </w:rPr>
        <w:t xml:space="preserve">Also at Pack Expo, groninger will </w:t>
      </w:r>
      <w:r w:rsidR="008565B9">
        <w:rPr>
          <w:rFonts w:ascii="Verdana" w:hAnsi="Verdana" w:cs="Arial"/>
          <w:spacing w:val="-2"/>
        </w:rPr>
        <w:t xml:space="preserve">highlight </w:t>
      </w:r>
      <w:r w:rsidR="008565B9">
        <w:rPr>
          <w:rStyle w:val="CommentReference"/>
          <w:rFonts w:ascii="Verdana" w:hAnsi="Verdana"/>
          <w:spacing w:val="-2"/>
          <w:sz w:val="20"/>
          <w:szCs w:val="20"/>
        </w:rPr>
        <w:t>it</w:t>
      </w:r>
      <w:r w:rsidRPr="00852D4D">
        <w:rPr>
          <w:rFonts w:ascii="Verdana" w:hAnsi="Verdana" w:cs="Arial"/>
          <w:spacing w:val="-2"/>
        </w:rPr>
        <w:t>s latest machine for filling and closing</w:t>
      </w:r>
      <w:r w:rsidR="000B2791" w:rsidRPr="00852D4D">
        <w:rPr>
          <w:rFonts w:ascii="Verdana" w:hAnsi="Verdana" w:cs="Arial"/>
          <w:spacing w:val="-2"/>
        </w:rPr>
        <w:t xml:space="preserve"> </w:t>
      </w:r>
      <w:r w:rsidR="00E5044F" w:rsidRPr="00852D4D">
        <w:rPr>
          <w:rFonts w:ascii="Verdana" w:hAnsi="Verdana" w:cs="Arial"/>
          <w:spacing w:val="-2"/>
        </w:rPr>
        <w:t>ready-to-use</w:t>
      </w:r>
      <w:r w:rsidRPr="00852D4D">
        <w:rPr>
          <w:rFonts w:ascii="Verdana" w:hAnsi="Verdana" w:cs="Arial"/>
          <w:spacing w:val="-2"/>
        </w:rPr>
        <w:t xml:space="preserve"> syringes, vials and cartridges. </w:t>
      </w:r>
      <w:r w:rsidR="00C019EA" w:rsidRPr="00852D4D">
        <w:rPr>
          <w:rFonts w:ascii="Verdana" w:hAnsi="Verdana" w:cs="Arial"/>
          <w:spacing w:val="-2"/>
        </w:rPr>
        <w:t>Suitable for medium-sized batch production, t</w:t>
      </w:r>
      <w:r w:rsidRPr="00852D4D">
        <w:rPr>
          <w:rFonts w:ascii="Verdana" w:hAnsi="Verdana" w:cs="Arial"/>
          <w:spacing w:val="-2"/>
        </w:rPr>
        <w:t xml:space="preserve">he company’s </w:t>
      </w:r>
      <w:r w:rsidR="00081E65">
        <w:rPr>
          <w:rFonts w:ascii="Verdana" w:hAnsi="Verdana" w:cs="Arial"/>
          <w:b/>
          <w:bCs/>
          <w:spacing w:val="-2"/>
        </w:rPr>
        <w:t>f</w:t>
      </w:r>
      <w:r w:rsidRPr="00852D4D">
        <w:rPr>
          <w:rFonts w:ascii="Verdana" w:hAnsi="Verdana" w:cs="Arial"/>
          <w:b/>
          <w:bCs/>
          <w:spacing w:val="-2"/>
        </w:rPr>
        <w:t>lexfill</w:t>
      </w:r>
      <w:r w:rsidR="00C019EA" w:rsidRPr="00852D4D">
        <w:rPr>
          <w:rFonts w:ascii="Verdana" w:hAnsi="Verdana" w:cs="Arial"/>
          <w:spacing w:val="-2"/>
        </w:rPr>
        <w:t xml:space="preserve"> provides a standardized, </w:t>
      </w:r>
      <w:r w:rsidR="007F51BF" w:rsidRPr="00F5007F">
        <w:rPr>
          <w:rFonts w:ascii="Verdana" w:hAnsi="Verdana" w:cs="Arial"/>
          <w:spacing w:val="-2"/>
        </w:rPr>
        <w:t>easily</w:t>
      </w:r>
      <w:r w:rsidR="007F51BF">
        <w:rPr>
          <w:rFonts w:ascii="Verdana" w:hAnsi="Verdana" w:cs="Arial"/>
          <w:spacing w:val="-2"/>
        </w:rPr>
        <w:t xml:space="preserve"> </w:t>
      </w:r>
      <w:r w:rsidR="00C019EA" w:rsidRPr="00852D4D">
        <w:rPr>
          <w:rFonts w:ascii="Verdana" w:hAnsi="Verdana" w:cs="Arial"/>
          <w:spacing w:val="-2"/>
        </w:rPr>
        <w:t>qualified and validated manufacturing solution that makes switching between container types and sizes simple and fast.</w:t>
      </w:r>
      <w:r w:rsidR="00E5044F" w:rsidRPr="00852D4D">
        <w:rPr>
          <w:rFonts w:ascii="Verdana" w:hAnsi="Verdana" w:cs="Arial"/>
          <w:spacing w:val="-2"/>
        </w:rPr>
        <w:t xml:space="preserve"> Notably, </w:t>
      </w:r>
      <w:r w:rsidR="00FC3C9F">
        <w:rPr>
          <w:rFonts w:ascii="Verdana" w:hAnsi="Verdana" w:cs="Arial"/>
          <w:spacing w:val="-2"/>
        </w:rPr>
        <w:t>f</w:t>
      </w:r>
      <w:r w:rsidR="00E5044F" w:rsidRPr="00852D4D">
        <w:rPr>
          <w:rFonts w:ascii="Verdana" w:hAnsi="Verdana" w:cs="Arial"/>
          <w:spacing w:val="-2"/>
        </w:rPr>
        <w:t xml:space="preserve">lexfill does not sacrifice flexibility for speed: the module can handle up to 200 products per minute. </w:t>
      </w:r>
    </w:p>
    <w:p w14:paraId="601A19E0" w14:textId="77777777" w:rsidR="00C019EA" w:rsidRPr="00852D4D" w:rsidRDefault="00C019EA" w:rsidP="00C019EA">
      <w:pPr>
        <w:spacing w:after="0" w:line="240" w:lineRule="auto"/>
        <w:rPr>
          <w:rFonts w:ascii="Verdana" w:hAnsi="Verdana" w:cs="Arial"/>
        </w:rPr>
      </w:pPr>
    </w:p>
    <w:p w14:paraId="1A3BE8DF" w14:textId="15A126FE" w:rsidR="000D308B" w:rsidRPr="00852D4D" w:rsidRDefault="00081E65" w:rsidP="00E5044F">
      <w:pPr>
        <w:autoSpaceDE w:val="0"/>
        <w:autoSpaceDN w:val="0"/>
        <w:adjustRightInd w:val="0"/>
        <w:spacing w:after="0" w:line="360" w:lineRule="auto"/>
        <w:rPr>
          <w:rFonts w:ascii="Verdana" w:hAnsi="Verdana" w:cs="HelveticaNeueLT Pro 55 Roman"/>
          <w:color w:val="000000"/>
        </w:rPr>
      </w:pPr>
      <w:r>
        <w:rPr>
          <w:rFonts w:ascii="Verdana" w:hAnsi="Verdana" w:cs="Arial"/>
        </w:rPr>
        <w:t>f</w:t>
      </w:r>
      <w:r w:rsidR="00C019EA" w:rsidRPr="00852D4D">
        <w:rPr>
          <w:rFonts w:ascii="Verdana" w:hAnsi="Verdana" w:cs="Arial"/>
        </w:rPr>
        <w:t>lexfill’s modular concept</w:t>
      </w:r>
      <w:r w:rsidR="00C019EA" w:rsidRPr="00852D4D">
        <w:rPr>
          <w:rFonts w:ascii="Verdana" w:hAnsi="Verdana" w:cs="Arial"/>
          <w:b/>
          <w:bCs/>
        </w:rPr>
        <w:t> </w:t>
      </w:r>
      <w:r w:rsidR="00C019EA" w:rsidRPr="00852D4D">
        <w:rPr>
          <w:rFonts w:ascii="Verdana" w:hAnsi="Verdana" w:cs="Arial"/>
        </w:rPr>
        <w:t>ensures that 80% of configurations are predefined, enabling expedited deployment and line integration</w:t>
      </w:r>
      <w:r w:rsidR="00E5044F" w:rsidRPr="00852D4D">
        <w:rPr>
          <w:rFonts w:ascii="Verdana" w:hAnsi="Verdana" w:cs="Arial"/>
        </w:rPr>
        <w:t xml:space="preserve">. The machine is essentially a “3-in-1” solution, with groninger’s </w:t>
      </w:r>
      <w:r w:rsidR="00E5044F" w:rsidRPr="00E5044F">
        <w:rPr>
          <w:rFonts w:ascii="Verdana" w:hAnsi="Verdana" w:cs="HelveticaNeueLT Pro 55 Roman"/>
          <w:color w:val="000000"/>
        </w:rPr>
        <w:t>combifill technology enabl</w:t>
      </w:r>
      <w:r w:rsidR="00E5044F" w:rsidRPr="00852D4D">
        <w:rPr>
          <w:rFonts w:ascii="Verdana" w:hAnsi="Verdana" w:cs="HelveticaNeueLT Pro 55 Roman"/>
          <w:color w:val="000000"/>
        </w:rPr>
        <w:t xml:space="preserve">ing </w:t>
      </w:r>
      <w:r w:rsidR="00E5044F" w:rsidRPr="00E5044F">
        <w:rPr>
          <w:rFonts w:ascii="Verdana" w:hAnsi="Verdana" w:cs="HelveticaNeueLT Pro 55 Roman"/>
          <w:color w:val="000000"/>
        </w:rPr>
        <w:t>nested syringes, vials and cartridges</w:t>
      </w:r>
      <w:r w:rsidR="00E5044F" w:rsidRPr="00852D4D">
        <w:rPr>
          <w:rFonts w:ascii="Verdana" w:hAnsi="Verdana" w:cs="HelveticaNeueLT Pro 55 Roman"/>
          <w:color w:val="000000"/>
        </w:rPr>
        <w:t xml:space="preserve"> to be processed</w:t>
      </w:r>
      <w:r w:rsidR="00E5044F" w:rsidRPr="00E5044F">
        <w:rPr>
          <w:rFonts w:ascii="Verdana" w:hAnsi="Verdana" w:cs="HelveticaNeueLT Pro 55 Roman"/>
          <w:color w:val="000000"/>
        </w:rPr>
        <w:t xml:space="preserve"> on </w:t>
      </w:r>
      <w:r w:rsidR="000D308B" w:rsidRPr="00852D4D">
        <w:rPr>
          <w:rFonts w:ascii="Verdana" w:hAnsi="Verdana" w:cs="HelveticaNeueLT Pro 55 Roman"/>
          <w:color w:val="000000"/>
        </w:rPr>
        <w:t xml:space="preserve">the same </w:t>
      </w:r>
      <w:r w:rsidR="00E5044F" w:rsidRPr="00E5044F">
        <w:rPr>
          <w:rFonts w:ascii="Verdana" w:hAnsi="Verdana" w:cs="HelveticaNeueLT Pro 55 Roman"/>
          <w:color w:val="000000"/>
        </w:rPr>
        <w:t>platform by changing</w:t>
      </w:r>
      <w:r w:rsidR="00E5044F" w:rsidRPr="00852D4D">
        <w:rPr>
          <w:rFonts w:ascii="Verdana" w:hAnsi="Verdana" w:cs="HelveticaNeueLT Pro 55 Roman"/>
          <w:color w:val="000000"/>
        </w:rPr>
        <w:t xml:space="preserve"> only container-specific</w:t>
      </w:r>
      <w:r w:rsidR="00E5044F" w:rsidRPr="00E5044F">
        <w:rPr>
          <w:rFonts w:ascii="Verdana" w:hAnsi="Verdana" w:cs="HelveticaNeueLT Pro 55 Roman"/>
          <w:color w:val="000000"/>
        </w:rPr>
        <w:t xml:space="preserve"> format parts</w:t>
      </w:r>
      <w:r w:rsidR="00E5044F" w:rsidRPr="00852D4D">
        <w:rPr>
          <w:rFonts w:ascii="Verdana" w:hAnsi="Verdana" w:cs="HelveticaNeueLT Pro 55 Roman"/>
          <w:color w:val="000000"/>
        </w:rPr>
        <w:t>.</w:t>
      </w:r>
      <w:r w:rsidR="00E5044F" w:rsidRPr="00E5044F">
        <w:rPr>
          <w:rFonts w:ascii="Verdana" w:hAnsi="Verdana" w:cs="HelveticaNeueLT Pro 55 Roman"/>
          <w:color w:val="000000"/>
        </w:rPr>
        <w:t xml:space="preserve"> </w:t>
      </w:r>
    </w:p>
    <w:p w14:paraId="403AE8D9" w14:textId="77777777" w:rsidR="000D308B" w:rsidRPr="00852D4D" w:rsidRDefault="000D308B" w:rsidP="00B30070">
      <w:pPr>
        <w:autoSpaceDE w:val="0"/>
        <w:autoSpaceDN w:val="0"/>
        <w:adjustRightInd w:val="0"/>
        <w:spacing w:after="0" w:line="240" w:lineRule="auto"/>
        <w:rPr>
          <w:rFonts w:ascii="Verdana" w:hAnsi="Verdana" w:cs="HelveticaNeueLT Pro 55 Roman"/>
          <w:color w:val="000000"/>
        </w:rPr>
      </w:pPr>
    </w:p>
    <w:p w14:paraId="419A2913" w14:textId="53804BAA" w:rsidR="00E5044F" w:rsidRPr="00852D4D" w:rsidRDefault="000D308B" w:rsidP="000D308B">
      <w:pPr>
        <w:autoSpaceDE w:val="0"/>
        <w:autoSpaceDN w:val="0"/>
        <w:adjustRightInd w:val="0"/>
        <w:spacing w:after="0" w:line="360" w:lineRule="auto"/>
        <w:rPr>
          <w:rFonts w:ascii="Verdana" w:hAnsi="Verdana" w:cs="Arial"/>
        </w:rPr>
      </w:pPr>
      <w:r w:rsidRPr="00852D4D">
        <w:rPr>
          <w:rFonts w:ascii="Verdana" w:hAnsi="Verdana" w:cs="HelveticaNeueLT Pro 55 Roman"/>
          <w:color w:val="000000"/>
        </w:rPr>
        <w:t xml:space="preserve">groninger’s </w:t>
      </w:r>
      <w:r w:rsidR="00E5044F" w:rsidRPr="00852D4D">
        <w:rPr>
          <w:rFonts w:ascii="Verdana" w:hAnsi="Verdana" w:cs="HelveticaNeueLT Pro 55 Roman"/>
          <w:color w:val="000000"/>
        </w:rPr>
        <w:t xml:space="preserve">smartfill technology minimizes product loss, and a no-touch-transfer setup assures aseptic handling of all pre-sterilized primary packaging. </w:t>
      </w:r>
      <w:r w:rsidR="00E5044F" w:rsidRPr="00852D4D">
        <w:rPr>
          <w:rFonts w:ascii="Verdana" w:hAnsi="Verdana" w:cs="Arial"/>
        </w:rPr>
        <w:t xml:space="preserve">All totaled, </w:t>
      </w:r>
      <w:r w:rsidR="00081E65">
        <w:rPr>
          <w:rFonts w:ascii="Verdana" w:hAnsi="Verdana" w:cs="Arial"/>
        </w:rPr>
        <w:t>f</w:t>
      </w:r>
      <w:r w:rsidR="00E5044F" w:rsidRPr="00852D4D">
        <w:rPr>
          <w:rFonts w:ascii="Verdana" w:hAnsi="Verdana" w:cs="Arial"/>
        </w:rPr>
        <w:t>lexfill’s multifunctionality and speed-to-market makes it a highly attractive processing solution for both pharma companies and contract manufacturing organizations (CMOs).</w:t>
      </w:r>
    </w:p>
    <w:p w14:paraId="598649A6" w14:textId="4B9CC490" w:rsidR="00417639" w:rsidRPr="00852D4D" w:rsidRDefault="00633DE7" w:rsidP="000F3880">
      <w:pPr>
        <w:pStyle w:val="Default"/>
        <w:spacing w:before="120" w:line="276" w:lineRule="auto"/>
        <w:jc w:val="center"/>
        <w:rPr>
          <w:rFonts w:ascii="Verdana" w:hAnsi="Verdana" w:cs="Verdana"/>
          <w:sz w:val="20"/>
          <w:szCs w:val="20"/>
        </w:rPr>
      </w:pPr>
      <w:r w:rsidRPr="00852D4D">
        <w:rPr>
          <w:rFonts w:ascii="Verdana" w:hAnsi="Verdana" w:cs="Verdana"/>
          <w:sz w:val="20"/>
          <w:szCs w:val="20"/>
        </w:rPr>
        <w:t xml:space="preserve"># # # </w:t>
      </w:r>
    </w:p>
    <w:p w14:paraId="582D9F74" w14:textId="77777777" w:rsidR="00633DE7" w:rsidRPr="00691601" w:rsidRDefault="00633DE7" w:rsidP="00304BD5">
      <w:pPr>
        <w:pStyle w:val="Default"/>
        <w:spacing w:before="60" w:line="276" w:lineRule="auto"/>
        <w:rPr>
          <w:rFonts w:ascii="Verdana" w:hAnsi="Verdana" w:cs="Verdana"/>
          <w:b/>
          <w:bCs/>
          <w:sz w:val="20"/>
          <w:szCs w:val="20"/>
        </w:rPr>
      </w:pPr>
    </w:p>
    <w:p w14:paraId="1FBCAAB9" w14:textId="77777777" w:rsidR="008565B9" w:rsidRDefault="008565B9" w:rsidP="008565B9">
      <w:pPr>
        <w:spacing w:after="0" w:line="288" w:lineRule="auto"/>
        <w:rPr>
          <w:rFonts w:ascii="Verdana" w:hAnsi="Verdana" w:cs="Calibri"/>
          <w:b/>
          <w:bCs/>
        </w:rPr>
      </w:pPr>
      <w:r w:rsidRPr="008565B9">
        <w:rPr>
          <w:rFonts w:ascii="Verdana" w:hAnsi="Verdana" w:cs="Calibri"/>
          <w:b/>
          <w:bCs/>
        </w:rPr>
        <w:t xml:space="preserve">About groninger </w:t>
      </w:r>
    </w:p>
    <w:p w14:paraId="04437B74" w14:textId="77777777" w:rsidR="00557CFE" w:rsidRDefault="00557CFE" w:rsidP="008565B9">
      <w:pPr>
        <w:spacing w:after="0" w:line="288" w:lineRule="auto"/>
        <w:rPr>
          <w:rFonts w:ascii="Verdana" w:hAnsi="Verdana" w:cs="Calibri"/>
          <w:b/>
          <w:bCs/>
        </w:rPr>
      </w:pPr>
    </w:p>
    <w:p w14:paraId="23EE337B" w14:textId="77777777" w:rsidR="008565B9" w:rsidRPr="008565B9" w:rsidRDefault="008565B9" w:rsidP="008565B9">
      <w:pPr>
        <w:spacing w:after="0" w:line="288" w:lineRule="auto"/>
        <w:rPr>
          <w:rFonts w:ascii="Verdana" w:hAnsi="Verdana" w:cs="Calibri"/>
        </w:rPr>
      </w:pPr>
      <w:r w:rsidRPr="008565B9">
        <w:rPr>
          <w:rFonts w:ascii="Verdana" w:hAnsi="Verdana" w:cs="Calibri"/>
        </w:rPr>
        <w:t xml:space="preserve">groninger is one of the leading international manufacturers of filling and closing machines for the pharmaceutical, consumer healthcare and cosmetics industries.  </w:t>
      </w:r>
    </w:p>
    <w:p w14:paraId="0439B8F9" w14:textId="3AA5CF84" w:rsidR="008565B9" w:rsidRDefault="008565B9" w:rsidP="008565B9">
      <w:pPr>
        <w:spacing w:after="0" w:line="288" w:lineRule="auto"/>
        <w:rPr>
          <w:rFonts w:ascii="Verdana" w:hAnsi="Verdana" w:cs="Calibri"/>
        </w:rPr>
      </w:pPr>
      <w:r w:rsidRPr="008565B9">
        <w:rPr>
          <w:rFonts w:ascii="Verdana" w:hAnsi="Verdana" w:cs="Calibri"/>
        </w:rPr>
        <w:t xml:space="preserve">The slogan “We fill Visions with Life” sums up what groninger stands for – excellent know-how, innovative solutions and cooperative partnership in </w:t>
      </w:r>
      <w:r w:rsidR="00081E65">
        <w:rPr>
          <w:rFonts w:ascii="Verdana" w:hAnsi="Verdana" w:cs="Calibri"/>
        </w:rPr>
        <w:t xml:space="preserve">the </w:t>
      </w:r>
      <w:r w:rsidRPr="008565B9">
        <w:rPr>
          <w:rFonts w:ascii="Verdana" w:hAnsi="Verdana" w:cs="Calibri"/>
        </w:rPr>
        <w:t xml:space="preserve">design of customized machines.  </w:t>
      </w:r>
    </w:p>
    <w:p w14:paraId="2177C4CE" w14:textId="77777777" w:rsidR="00081E65" w:rsidRPr="008565B9" w:rsidRDefault="00081E65" w:rsidP="008565B9">
      <w:pPr>
        <w:spacing w:after="0" w:line="288" w:lineRule="auto"/>
        <w:rPr>
          <w:rFonts w:ascii="Verdana" w:hAnsi="Verdana" w:cs="Calibri"/>
        </w:rPr>
      </w:pPr>
    </w:p>
    <w:p w14:paraId="3C2B1DAD" w14:textId="3C7D8E76" w:rsidR="008565B9" w:rsidRDefault="008565B9" w:rsidP="008565B9">
      <w:pPr>
        <w:spacing w:after="0" w:line="288" w:lineRule="auto"/>
        <w:rPr>
          <w:rFonts w:ascii="Verdana" w:hAnsi="Verdana" w:cs="Calibri"/>
        </w:rPr>
      </w:pPr>
      <w:r w:rsidRPr="008565B9">
        <w:rPr>
          <w:rFonts w:ascii="Verdana" w:hAnsi="Verdana" w:cs="Calibri"/>
        </w:rPr>
        <w:t>Since the founding of the company in 1980 by Horst Groninger, groninger has developed into a hidden champion and innovation leader in the industry. Today, the second generation of the family business employs over 1,500 people in Crailsheim, Schnelldorf and Charlotte (USA). The company’s headquarters are in Crailsheim, Baden-Württemberg.</w:t>
      </w:r>
      <w:r w:rsidR="00081E65">
        <w:rPr>
          <w:rFonts w:ascii="Verdana" w:hAnsi="Verdana" w:cs="Calibri"/>
        </w:rPr>
        <w:t xml:space="preserve"> </w:t>
      </w:r>
      <w:r w:rsidR="00081E65" w:rsidRPr="00691601">
        <w:rPr>
          <w:rFonts w:ascii="Verdana" w:hAnsi="Verdana" w:cs="Calibri"/>
        </w:rPr>
        <w:t>For more information, visit</w:t>
      </w:r>
      <w:r w:rsidR="00081E65">
        <w:rPr>
          <w:rFonts w:ascii="Verdana" w:hAnsi="Verdana" w:cs="Calibri"/>
        </w:rPr>
        <w:t xml:space="preserve"> </w:t>
      </w:r>
      <w:hyperlink r:id="rId11" w:history="1">
        <w:r w:rsidR="00081E65" w:rsidRPr="000806BC">
          <w:rPr>
            <w:rStyle w:val="Hyperlink"/>
            <w:rFonts w:ascii="Verdana" w:hAnsi="Verdana" w:cs="Calibri"/>
          </w:rPr>
          <w:t>www.groninger-group.com</w:t>
        </w:r>
      </w:hyperlink>
      <w:r w:rsidR="00081E65">
        <w:rPr>
          <w:rFonts w:ascii="Verdana" w:hAnsi="Verdana" w:cs="Calibri"/>
        </w:rPr>
        <w:t>.</w:t>
      </w:r>
    </w:p>
    <w:p w14:paraId="0826AC30" w14:textId="77777777" w:rsidR="008565B9" w:rsidRDefault="008565B9" w:rsidP="008565B9">
      <w:pPr>
        <w:spacing w:after="0" w:line="288" w:lineRule="auto"/>
        <w:rPr>
          <w:rFonts w:ascii="Verdana" w:hAnsi="Verdana" w:cs="Calibri"/>
        </w:rPr>
      </w:pPr>
    </w:p>
    <w:p w14:paraId="26362B7E" w14:textId="689C7042" w:rsidR="008565B9" w:rsidRDefault="008565B9" w:rsidP="008565B9">
      <w:pPr>
        <w:spacing w:after="0" w:line="288" w:lineRule="auto"/>
        <w:rPr>
          <w:rFonts w:ascii="Verdana" w:hAnsi="Verdana" w:cs="Calibri"/>
          <w:b/>
          <w:bCs/>
        </w:rPr>
      </w:pPr>
      <w:r w:rsidRPr="008565B9">
        <w:rPr>
          <w:rFonts w:ascii="Verdana" w:hAnsi="Verdana" w:cs="Calibri"/>
          <w:b/>
          <w:bCs/>
        </w:rPr>
        <w:t xml:space="preserve">groninger at a Glance </w:t>
      </w:r>
    </w:p>
    <w:p w14:paraId="5B9EB735" w14:textId="77777777" w:rsidR="00557CFE" w:rsidRDefault="00557CFE" w:rsidP="008565B9">
      <w:pPr>
        <w:spacing w:after="0" w:line="288" w:lineRule="auto"/>
        <w:rPr>
          <w:rFonts w:ascii="Verdana" w:hAnsi="Verdana" w:cs="Calibri"/>
          <w:b/>
          <w:bCs/>
        </w:rPr>
      </w:pPr>
    </w:p>
    <w:p w14:paraId="072F4363" w14:textId="0C498144" w:rsidR="008565B9" w:rsidRPr="008565B9" w:rsidRDefault="008565B9" w:rsidP="008565B9">
      <w:pPr>
        <w:spacing w:after="0" w:line="288" w:lineRule="auto"/>
        <w:rPr>
          <w:rFonts w:ascii="Verdana" w:hAnsi="Verdana" w:cs="Calibri"/>
        </w:rPr>
      </w:pPr>
      <w:r w:rsidRPr="008565B9">
        <w:rPr>
          <w:rFonts w:ascii="Verdana" w:hAnsi="Verdana" w:cs="Calibri"/>
        </w:rPr>
        <w:t xml:space="preserve">Founded </w:t>
      </w:r>
      <w:r w:rsidR="00557CFE">
        <w:rPr>
          <w:rFonts w:ascii="Verdana" w:hAnsi="Verdana" w:cs="Calibri"/>
        </w:rPr>
        <w:tab/>
      </w:r>
      <w:r w:rsidR="00557CFE">
        <w:rPr>
          <w:rFonts w:ascii="Verdana" w:hAnsi="Verdana" w:cs="Calibri"/>
        </w:rPr>
        <w:tab/>
      </w:r>
      <w:r w:rsidRPr="008565B9">
        <w:rPr>
          <w:rFonts w:ascii="Verdana" w:hAnsi="Verdana" w:cs="Calibri"/>
        </w:rPr>
        <w:t xml:space="preserve">1980 by Horst Groninger </w:t>
      </w:r>
    </w:p>
    <w:p w14:paraId="3B38F2CC" w14:textId="369C0132" w:rsidR="008565B9" w:rsidRPr="008565B9" w:rsidRDefault="008565B9" w:rsidP="008565B9">
      <w:pPr>
        <w:spacing w:after="0" w:line="288" w:lineRule="auto"/>
        <w:rPr>
          <w:rFonts w:ascii="Verdana" w:hAnsi="Verdana" w:cs="Calibri"/>
        </w:rPr>
      </w:pPr>
      <w:r w:rsidRPr="008565B9">
        <w:rPr>
          <w:rFonts w:ascii="Verdana" w:hAnsi="Verdana" w:cs="Calibri"/>
        </w:rPr>
        <w:t xml:space="preserve">Headquarters </w:t>
      </w:r>
      <w:r w:rsidR="00557CFE">
        <w:rPr>
          <w:rFonts w:ascii="Verdana" w:hAnsi="Verdana" w:cs="Calibri"/>
        </w:rPr>
        <w:tab/>
      </w:r>
      <w:r w:rsidR="00557CFE">
        <w:rPr>
          <w:rFonts w:ascii="Verdana" w:hAnsi="Verdana" w:cs="Calibri"/>
        </w:rPr>
        <w:tab/>
      </w:r>
      <w:r w:rsidRPr="008565B9">
        <w:rPr>
          <w:rFonts w:ascii="Verdana" w:hAnsi="Verdana" w:cs="Calibri"/>
        </w:rPr>
        <w:t xml:space="preserve">Crailsheim (Baden-Württemberg, Germany) </w:t>
      </w:r>
    </w:p>
    <w:p w14:paraId="12C7610A" w14:textId="13810896" w:rsidR="008565B9" w:rsidRPr="008565B9" w:rsidRDefault="008565B9" w:rsidP="008565B9">
      <w:pPr>
        <w:spacing w:after="0" w:line="288" w:lineRule="auto"/>
        <w:rPr>
          <w:rFonts w:ascii="Verdana" w:hAnsi="Verdana" w:cs="Calibri"/>
        </w:rPr>
      </w:pPr>
      <w:r w:rsidRPr="008565B9">
        <w:rPr>
          <w:rFonts w:ascii="Verdana" w:hAnsi="Verdana" w:cs="Calibri"/>
        </w:rPr>
        <w:t>Locations</w:t>
      </w:r>
      <w:r w:rsidR="00557CFE">
        <w:rPr>
          <w:rFonts w:ascii="Verdana" w:hAnsi="Verdana" w:cs="Calibri"/>
        </w:rPr>
        <w:tab/>
      </w:r>
      <w:r w:rsidR="00557CFE">
        <w:rPr>
          <w:rFonts w:ascii="Verdana" w:hAnsi="Verdana" w:cs="Calibri"/>
        </w:rPr>
        <w:tab/>
      </w:r>
      <w:r w:rsidRPr="008565B9">
        <w:rPr>
          <w:rFonts w:ascii="Verdana" w:hAnsi="Verdana" w:cs="Calibri"/>
        </w:rPr>
        <w:t xml:space="preserve">Crailsheim, Schnelldorf, Charlotte (North Carolina, USA) </w:t>
      </w:r>
    </w:p>
    <w:p w14:paraId="05E289D0" w14:textId="64C42A23" w:rsidR="008565B9" w:rsidRPr="000A2D85" w:rsidRDefault="008565B9" w:rsidP="00557CFE">
      <w:pPr>
        <w:spacing w:after="0" w:line="288" w:lineRule="auto"/>
        <w:ind w:left="2160" w:hanging="2160"/>
        <w:rPr>
          <w:rFonts w:ascii="Verdana" w:hAnsi="Verdana" w:cs="Calibri"/>
          <w:lang w:val="de-DE"/>
        </w:rPr>
      </w:pPr>
      <w:r w:rsidRPr="000A2D85">
        <w:rPr>
          <w:rFonts w:ascii="Verdana" w:hAnsi="Verdana" w:cs="Calibri"/>
          <w:lang w:val="de-DE"/>
        </w:rPr>
        <w:t>Managing Directors</w:t>
      </w:r>
      <w:r w:rsidR="00557CFE" w:rsidRPr="000A2D85">
        <w:rPr>
          <w:rFonts w:ascii="Verdana" w:hAnsi="Verdana" w:cs="Calibri"/>
          <w:lang w:val="de-DE"/>
        </w:rPr>
        <w:tab/>
      </w:r>
      <w:r w:rsidRPr="000A2D85">
        <w:rPr>
          <w:rFonts w:ascii="Verdana" w:hAnsi="Verdana" w:cs="Calibri"/>
          <w:lang w:val="de-DE"/>
        </w:rPr>
        <w:t xml:space="preserve">Horst Groninger, Jens Groninger, Volker Groninger, Josef Veile, Dr.-Ing. Frieder Kanitz, Philipp Hauser </w:t>
      </w:r>
    </w:p>
    <w:p w14:paraId="5ECDA77C" w14:textId="47FF3859" w:rsidR="008565B9" w:rsidRPr="008565B9" w:rsidRDefault="008565B9" w:rsidP="008565B9">
      <w:pPr>
        <w:spacing w:after="0" w:line="288" w:lineRule="auto"/>
        <w:rPr>
          <w:rFonts w:ascii="Verdana" w:hAnsi="Verdana" w:cs="Calibri"/>
        </w:rPr>
      </w:pPr>
      <w:r w:rsidRPr="008565B9">
        <w:rPr>
          <w:rFonts w:ascii="Verdana" w:hAnsi="Verdana" w:cs="Calibri"/>
        </w:rPr>
        <w:t>In Sector</w:t>
      </w:r>
      <w:r w:rsidR="00081E65">
        <w:rPr>
          <w:rFonts w:ascii="Verdana" w:hAnsi="Verdana" w:cs="Calibri"/>
        </w:rPr>
        <w:t>:</w:t>
      </w:r>
      <w:r w:rsidRPr="008565B9">
        <w:rPr>
          <w:rFonts w:ascii="Verdana" w:hAnsi="Verdana" w:cs="Calibri"/>
        </w:rPr>
        <w:t xml:space="preserve"> </w:t>
      </w:r>
      <w:r w:rsidR="00557CFE">
        <w:rPr>
          <w:rFonts w:ascii="Verdana" w:hAnsi="Verdana" w:cs="Calibri"/>
        </w:rPr>
        <w:tab/>
      </w:r>
      <w:r w:rsidR="00557CFE">
        <w:rPr>
          <w:rFonts w:ascii="Verdana" w:hAnsi="Verdana" w:cs="Calibri"/>
        </w:rPr>
        <w:tab/>
      </w:r>
      <w:r w:rsidRPr="008565B9">
        <w:rPr>
          <w:rFonts w:ascii="Verdana" w:hAnsi="Verdana" w:cs="Calibri"/>
        </w:rPr>
        <w:t xml:space="preserve">Filling &amp; closing systems </w:t>
      </w:r>
    </w:p>
    <w:p w14:paraId="129F1F5C" w14:textId="1C16B11F" w:rsidR="008565B9" w:rsidRPr="008565B9" w:rsidRDefault="008565B9" w:rsidP="008565B9">
      <w:pPr>
        <w:spacing w:after="0" w:line="288" w:lineRule="auto"/>
        <w:rPr>
          <w:rFonts w:ascii="Verdana" w:hAnsi="Verdana" w:cs="Calibri"/>
        </w:rPr>
      </w:pPr>
      <w:r w:rsidRPr="008565B9">
        <w:rPr>
          <w:rFonts w:ascii="Verdana" w:hAnsi="Verdana" w:cs="Calibri"/>
        </w:rPr>
        <w:t>Business Units</w:t>
      </w:r>
      <w:r w:rsidR="00557CFE">
        <w:rPr>
          <w:rFonts w:ascii="Verdana" w:hAnsi="Verdana" w:cs="Calibri"/>
        </w:rPr>
        <w:tab/>
      </w:r>
      <w:r w:rsidRPr="008565B9">
        <w:rPr>
          <w:rFonts w:ascii="Verdana" w:hAnsi="Verdana" w:cs="Calibri"/>
        </w:rPr>
        <w:t xml:space="preserve">Pharmaceuticals, Consumer Healthcare und Cosmetics </w:t>
      </w:r>
    </w:p>
    <w:p w14:paraId="7D82C1B1" w14:textId="67ECC403" w:rsidR="008565B9" w:rsidRPr="008565B9" w:rsidRDefault="008565B9" w:rsidP="008565B9">
      <w:pPr>
        <w:spacing w:after="0" w:line="288" w:lineRule="auto"/>
        <w:rPr>
          <w:rFonts w:ascii="Verdana" w:hAnsi="Verdana" w:cs="Calibri"/>
        </w:rPr>
      </w:pPr>
      <w:r w:rsidRPr="008565B9">
        <w:rPr>
          <w:rFonts w:ascii="Verdana" w:hAnsi="Verdana" w:cs="Calibri"/>
        </w:rPr>
        <w:t xml:space="preserve">Employees </w:t>
      </w:r>
      <w:r w:rsidR="00557CFE">
        <w:rPr>
          <w:rFonts w:ascii="Verdana" w:hAnsi="Verdana" w:cs="Calibri"/>
        </w:rPr>
        <w:tab/>
      </w:r>
      <w:r w:rsidR="00557CFE">
        <w:rPr>
          <w:rFonts w:ascii="Verdana" w:hAnsi="Verdana" w:cs="Calibri"/>
        </w:rPr>
        <w:tab/>
      </w:r>
      <w:r w:rsidRPr="008565B9">
        <w:rPr>
          <w:rFonts w:ascii="Verdana" w:hAnsi="Verdana" w:cs="Calibri"/>
        </w:rPr>
        <w:t xml:space="preserve">&gt; 1,500 worldwide </w:t>
      </w:r>
    </w:p>
    <w:p w14:paraId="2E1ED139" w14:textId="3474D5EE" w:rsidR="008565B9" w:rsidRDefault="008565B9" w:rsidP="008565B9">
      <w:pPr>
        <w:spacing w:after="0" w:line="288" w:lineRule="auto"/>
        <w:rPr>
          <w:rFonts w:ascii="Verdana" w:hAnsi="Verdana" w:cs="Calibri"/>
        </w:rPr>
      </w:pPr>
      <w:r w:rsidRPr="008565B9">
        <w:rPr>
          <w:rFonts w:ascii="Verdana" w:hAnsi="Verdana" w:cs="Calibri"/>
        </w:rPr>
        <w:t>Export Quota</w:t>
      </w:r>
      <w:r w:rsidR="00557CFE">
        <w:rPr>
          <w:rFonts w:ascii="Verdana" w:hAnsi="Verdana" w:cs="Calibri"/>
        </w:rPr>
        <w:tab/>
      </w:r>
      <w:r w:rsidR="00557CFE">
        <w:rPr>
          <w:rFonts w:ascii="Verdana" w:hAnsi="Verdana" w:cs="Calibri"/>
        </w:rPr>
        <w:tab/>
      </w:r>
      <w:r w:rsidRPr="008565B9">
        <w:rPr>
          <w:rFonts w:ascii="Verdana" w:hAnsi="Verdana" w:cs="Calibri"/>
        </w:rPr>
        <w:t>90 percent</w:t>
      </w:r>
    </w:p>
    <w:p w14:paraId="1F2B4CD4" w14:textId="3A42DFA6" w:rsidR="008565B9" w:rsidRPr="008565B9" w:rsidRDefault="008565B9" w:rsidP="008565B9">
      <w:pPr>
        <w:spacing w:after="0" w:line="288" w:lineRule="auto"/>
        <w:rPr>
          <w:rFonts w:ascii="Verdana" w:hAnsi="Verdana" w:cs="Calibri"/>
        </w:rPr>
      </w:pPr>
    </w:p>
    <w:sectPr w:rsidR="008565B9" w:rsidRPr="008565B9" w:rsidSect="00A17DCE">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8686" w14:textId="77777777" w:rsidR="002D4128" w:rsidRDefault="002D4128" w:rsidP="00C54557">
      <w:pPr>
        <w:spacing w:after="0" w:line="240" w:lineRule="auto"/>
      </w:pPr>
      <w:r>
        <w:separator/>
      </w:r>
    </w:p>
  </w:endnote>
  <w:endnote w:type="continuationSeparator" w:id="0">
    <w:p w14:paraId="05560FCD" w14:textId="77777777" w:rsidR="002D4128" w:rsidRDefault="002D4128"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eiryo UI">
    <w:panose1 w:val="020B0604030504040204"/>
    <w:charset w:val="80"/>
    <w:family w:val="swiss"/>
    <w:pitch w:val="variable"/>
    <w:sig w:usb0="E10102FF" w:usb1="EAC7FFFF" w:usb2="00010012" w:usb3="00000000" w:csb0="0002009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E8ECB" w14:textId="77777777" w:rsidR="002D4128" w:rsidRDefault="002D4128" w:rsidP="00C54557">
      <w:pPr>
        <w:spacing w:after="0" w:line="240" w:lineRule="auto"/>
      </w:pPr>
      <w:r>
        <w:separator/>
      </w:r>
    </w:p>
  </w:footnote>
  <w:footnote w:type="continuationSeparator" w:id="0">
    <w:p w14:paraId="6A2824BB" w14:textId="77777777" w:rsidR="002D4128" w:rsidRDefault="002D4128"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050B0"/>
    <w:rsid w:val="00013F51"/>
    <w:rsid w:val="00022872"/>
    <w:rsid w:val="00025105"/>
    <w:rsid w:val="00030311"/>
    <w:rsid w:val="00052693"/>
    <w:rsid w:val="00057B30"/>
    <w:rsid w:val="00074A3D"/>
    <w:rsid w:val="00074E44"/>
    <w:rsid w:val="00081E65"/>
    <w:rsid w:val="000859EE"/>
    <w:rsid w:val="00096AFF"/>
    <w:rsid w:val="000A089A"/>
    <w:rsid w:val="000A2D85"/>
    <w:rsid w:val="000A3D2A"/>
    <w:rsid w:val="000A52D5"/>
    <w:rsid w:val="000A6AF7"/>
    <w:rsid w:val="000B0D4E"/>
    <w:rsid w:val="000B2791"/>
    <w:rsid w:val="000B2D9E"/>
    <w:rsid w:val="000B45EA"/>
    <w:rsid w:val="000C12DE"/>
    <w:rsid w:val="000D308B"/>
    <w:rsid w:val="000D62B1"/>
    <w:rsid w:val="000E01B3"/>
    <w:rsid w:val="000F3880"/>
    <w:rsid w:val="001020E4"/>
    <w:rsid w:val="00111CD4"/>
    <w:rsid w:val="00116EC7"/>
    <w:rsid w:val="0012292E"/>
    <w:rsid w:val="00123320"/>
    <w:rsid w:val="0012556A"/>
    <w:rsid w:val="001312DB"/>
    <w:rsid w:val="00136AD3"/>
    <w:rsid w:val="00136CD3"/>
    <w:rsid w:val="001412AA"/>
    <w:rsid w:val="0014628F"/>
    <w:rsid w:val="00162CBA"/>
    <w:rsid w:val="001633AA"/>
    <w:rsid w:val="001647AB"/>
    <w:rsid w:val="0017369F"/>
    <w:rsid w:val="00187695"/>
    <w:rsid w:val="00187785"/>
    <w:rsid w:val="00192B2C"/>
    <w:rsid w:val="00196FA2"/>
    <w:rsid w:val="001A3A4B"/>
    <w:rsid w:val="001A596B"/>
    <w:rsid w:val="001D348D"/>
    <w:rsid w:val="001D6AF3"/>
    <w:rsid w:val="001D7238"/>
    <w:rsid w:val="001E7F16"/>
    <w:rsid w:val="001F2187"/>
    <w:rsid w:val="001F28DE"/>
    <w:rsid w:val="001F3B46"/>
    <w:rsid w:val="001F711D"/>
    <w:rsid w:val="00202AC2"/>
    <w:rsid w:val="00221F35"/>
    <w:rsid w:val="0022436B"/>
    <w:rsid w:val="00227B42"/>
    <w:rsid w:val="00250A32"/>
    <w:rsid w:val="00271428"/>
    <w:rsid w:val="00274E01"/>
    <w:rsid w:val="00285F15"/>
    <w:rsid w:val="00297203"/>
    <w:rsid w:val="002B09F6"/>
    <w:rsid w:val="002C1435"/>
    <w:rsid w:val="002C3C8D"/>
    <w:rsid w:val="002D2F0D"/>
    <w:rsid w:val="002D4128"/>
    <w:rsid w:val="002D7ED8"/>
    <w:rsid w:val="002F602A"/>
    <w:rsid w:val="00304BD5"/>
    <w:rsid w:val="00316552"/>
    <w:rsid w:val="003278E0"/>
    <w:rsid w:val="003304C6"/>
    <w:rsid w:val="00342ABF"/>
    <w:rsid w:val="00342FD0"/>
    <w:rsid w:val="00343C64"/>
    <w:rsid w:val="00360FFD"/>
    <w:rsid w:val="00361969"/>
    <w:rsid w:val="00362563"/>
    <w:rsid w:val="00363FEB"/>
    <w:rsid w:val="0036615B"/>
    <w:rsid w:val="00374FE4"/>
    <w:rsid w:val="0037551A"/>
    <w:rsid w:val="003843C3"/>
    <w:rsid w:val="003A4EA0"/>
    <w:rsid w:val="003A6F91"/>
    <w:rsid w:val="003A74D5"/>
    <w:rsid w:val="003D13FD"/>
    <w:rsid w:val="003D4C85"/>
    <w:rsid w:val="003E5930"/>
    <w:rsid w:val="00406FC3"/>
    <w:rsid w:val="00411D4B"/>
    <w:rsid w:val="00417639"/>
    <w:rsid w:val="00420F93"/>
    <w:rsid w:val="00423F39"/>
    <w:rsid w:val="00427C6C"/>
    <w:rsid w:val="00430A41"/>
    <w:rsid w:val="00443949"/>
    <w:rsid w:val="00452CCB"/>
    <w:rsid w:val="00461BB7"/>
    <w:rsid w:val="00470664"/>
    <w:rsid w:val="00475BDE"/>
    <w:rsid w:val="0049121D"/>
    <w:rsid w:val="00494892"/>
    <w:rsid w:val="004A21A7"/>
    <w:rsid w:val="004C40E5"/>
    <w:rsid w:val="004C5225"/>
    <w:rsid w:val="004D5438"/>
    <w:rsid w:val="004D5524"/>
    <w:rsid w:val="004D5D3C"/>
    <w:rsid w:val="004E2EE5"/>
    <w:rsid w:val="004E3A97"/>
    <w:rsid w:val="00504D98"/>
    <w:rsid w:val="00513BFA"/>
    <w:rsid w:val="00515DFD"/>
    <w:rsid w:val="00520C8E"/>
    <w:rsid w:val="00521770"/>
    <w:rsid w:val="00522535"/>
    <w:rsid w:val="00522A89"/>
    <w:rsid w:val="005250CE"/>
    <w:rsid w:val="005255C9"/>
    <w:rsid w:val="0053028E"/>
    <w:rsid w:val="00531C77"/>
    <w:rsid w:val="005325E5"/>
    <w:rsid w:val="0053532B"/>
    <w:rsid w:val="00540D85"/>
    <w:rsid w:val="00541DF1"/>
    <w:rsid w:val="00545595"/>
    <w:rsid w:val="005470BA"/>
    <w:rsid w:val="00556B68"/>
    <w:rsid w:val="00557CFE"/>
    <w:rsid w:val="00560598"/>
    <w:rsid w:val="005635AD"/>
    <w:rsid w:val="005662D3"/>
    <w:rsid w:val="00570D4E"/>
    <w:rsid w:val="00571691"/>
    <w:rsid w:val="005802BE"/>
    <w:rsid w:val="00585107"/>
    <w:rsid w:val="005908EF"/>
    <w:rsid w:val="00592064"/>
    <w:rsid w:val="00593DA4"/>
    <w:rsid w:val="005A7E0B"/>
    <w:rsid w:val="005B59E9"/>
    <w:rsid w:val="005B640D"/>
    <w:rsid w:val="005D4732"/>
    <w:rsid w:val="005D7A9A"/>
    <w:rsid w:val="005E0EC1"/>
    <w:rsid w:val="005E7918"/>
    <w:rsid w:val="005F27A9"/>
    <w:rsid w:val="005F2D20"/>
    <w:rsid w:val="005F2F86"/>
    <w:rsid w:val="006100DF"/>
    <w:rsid w:val="0061190A"/>
    <w:rsid w:val="0061710C"/>
    <w:rsid w:val="00624964"/>
    <w:rsid w:val="006315A2"/>
    <w:rsid w:val="0063381C"/>
    <w:rsid w:val="00633DE7"/>
    <w:rsid w:val="00634FFD"/>
    <w:rsid w:val="006350A0"/>
    <w:rsid w:val="00655831"/>
    <w:rsid w:val="00663913"/>
    <w:rsid w:val="00667ECE"/>
    <w:rsid w:val="00670C2C"/>
    <w:rsid w:val="00677329"/>
    <w:rsid w:val="00680CEC"/>
    <w:rsid w:val="006842FD"/>
    <w:rsid w:val="00691601"/>
    <w:rsid w:val="0069320D"/>
    <w:rsid w:val="006B33BD"/>
    <w:rsid w:val="006D4509"/>
    <w:rsid w:val="006E51EE"/>
    <w:rsid w:val="006E7B03"/>
    <w:rsid w:val="006F22AF"/>
    <w:rsid w:val="006F33EA"/>
    <w:rsid w:val="006F6A46"/>
    <w:rsid w:val="007128EF"/>
    <w:rsid w:val="00713D3F"/>
    <w:rsid w:val="00724893"/>
    <w:rsid w:val="00726D1A"/>
    <w:rsid w:val="00727572"/>
    <w:rsid w:val="007278F0"/>
    <w:rsid w:val="00734770"/>
    <w:rsid w:val="00741774"/>
    <w:rsid w:val="00742427"/>
    <w:rsid w:val="007432D4"/>
    <w:rsid w:val="00746B52"/>
    <w:rsid w:val="007521D4"/>
    <w:rsid w:val="007639A5"/>
    <w:rsid w:val="00772FEE"/>
    <w:rsid w:val="00783FD9"/>
    <w:rsid w:val="007A0BAA"/>
    <w:rsid w:val="007B1574"/>
    <w:rsid w:val="007B4D6E"/>
    <w:rsid w:val="007B692A"/>
    <w:rsid w:val="007C1F0F"/>
    <w:rsid w:val="007C77C8"/>
    <w:rsid w:val="007C7A9A"/>
    <w:rsid w:val="007E218C"/>
    <w:rsid w:val="007E33BC"/>
    <w:rsid w:val="007F51BF"/>
    <w:rsid w:val="00816FFF"/>
    <w:rsid w:val="00817164"/>
    <w:rsid w:val="00817CD6"/>
    <w:rsid w:val="00821011"/>
    <w:rsid w:val="00823669"/>
    <w:rsid w:val="008250A7"/>
    <w:rsid w:val="008322AA"/>
    <w:rsid w:val="0083688E"/>
    <w:rsid w:val="00840644"/>
    <w:rsid w:val="00852D4D"/>
    <w:rsid w:val="008565B9"/>
    <w:rsid w:val="00860169"/>
    <w:rsid w:val="00863E3B"/>
    <w:rsid w:val="00866DB0"/>
    <w:rsid w:val="0086757D"/>
    <w:rsid w:val="008716C0"/>
    <w:rsid w:val="00890B54"/>
    <w:rsid w:val="008B1C8A"/>
    <w:rsid w:val="008D2D28"/>
    <w:rsid w:val="008D513F"/>
    <w:rsid w:val="008E34CE"/>
    <w:rsid w:val="008E7B33"/>
    <w:rsid w:val="008F5F5E"/>
    <w:rsid w:val="00900116"/>
    <w:rsid w:val="00901513"/>
    <w:rsid w:val="00915136"/>
    <w:rsid w:val="00927651"/>
    <w:rsid w:val="00933B2A"/>
    <w:rsid w:val="009403D8"/>
    <w:rsid w:val="009454DF"/>
    <w:rsid w:val="00952A31"/>
    <w:rsid w:val="00953608"/>
    <w:rsid w:val="00974D18"/>
    <w:rsid w:val="009752E9"/>
    <w:rsid w:val="00980120"/>
    <w:rsid w:val="0098177D"/>
    <w:rsid w:val="0098695D"/>
    <w:rsid w:val="00994DC5"/>
    <w:rsid w:val="009A057D"/>
    <w:rsid w:val="009A127C"/>
    <w:rsid w:val="009D0717"/>
    <w:rsid w:val="009D0FF9"/>
    <w:rsid w:val="009D3596"/>
    <w:rsid w:val="009D3762"/>
    <w:rsid w:val="009E0B33"/>
    <w:rsid w:val="009E2B03"/>
    <w:rsid w:val="009F1C5A"/>
    <w:rsid w:val="00A009EA"/>
    <w:rsid w:val="00A024F2"/>
    <w:rsid w:val="00A065D4"/>
    <w:rsid w:val="00A06B24"/>
    <w:rsid w:val="00A07CA1"/>
    <w:rsid w:val="00A12A35"/>
    <w:rsid w:val="00A17DCE"/>
    <w:rsid w:val="00A24FF0"/>
    <w:rsid w:val="00A2560B"/>
    <w:rsid w:val="00A35DD6"/>
    <w:rsid w:val="00A41094"/>
    <w:rsid w:val="00A47F98"/>
    <w:rsid w:val="00A50A91"/>
    <w:rsid w:val="00A51F7E"/>
    <w:rsid w:val="00A52460"/>
    <w:rsid w:val="00A57972"/>
    <w:rsid w:val="00A64743"/>
    <w:rsid w:val="00A84842"/>
    <w:rsid w:val="00A86392"/>
    <w:rsid w:val="00A86BD2"/>
    <w:rsid w:val="00A93623"/>
    <w:rsid w:val="00A95EB5"/>
    <w:rsid w:val="00AA09D5"/>
    <w:rsid w:val="00AA7BDF"/>
    <w:rsid w:val="00AB01F3"/>
    <w:rsid w:val="00AB1485"/>
    <w:rsid w:val="00AB1511"/>
    <w:rsid w:val="00AC598B"/>
    <w:rsid w:val="00AD6E2F"/>
    <w:rsid w:val="00AE510D"/>
    <w:rsid w:val="00AE53A5"/>
    <w:rsid w:val="00AF19B4"/>
    <w:rsid w:val="00AF21A4"/>
    <w:rsid w:val="00AF7001"/>
    <w:rsid w:val="00B00690"/>
    <w:rsid w:val="00B217A5"/>
    <w:rsid w:val="00B24E13"/>
    <w:rsid w:val="00B30070"/>
    <w:rsid w:val="00B55DCC"/>
    <w:rsid w:val="00B66DE1"/>
    <w:rsid w:val="00B70837"/>
    <w:rsid w:val="00B766DB"/>
    <w:rsid w:val="00B9017B"/>
    <w:rsid w:val="00B93084"/>
    <w:rsid w:val="00B939C9"/>
    <w:rsid w:val="00BA0347"/>
    <w:rsid w:val="00BA18AC"/>
    <w:rsid w:val="00BA50A5"/>
    <w:rsid w:val="00BB12E4"/>
    <w:rsid w:val="00BB7D68"/>
    <w:rsid w:val="00BC7305"/>
    <w:rsid w:val="00BE32CB"/>
    <w:rsid w:val="00C019EA"/>
    <w:rsid w:val="00C10EC5"/>
    <w:rsid w:val="00C166C1"/>
    <w:rsid w:val="00C236CC"/>
    <w:rsid w:val="00C24685"/>
    <w:rsid w:val="00C24F78"/>
    <w:rsid w:val="00C27D7E"/>
    <w:rsid w:val="00C40CE4"/>
    <w:rsid w:val="00C44493"/>
    <w:rsid w:val="00C52500"/>
    <w:rsid w:val="00C54557"/>
    <w:rsid w:val="00C6600C"/>
    <w:rsid w:val="00C72B8A"/>
    <w:rsid w:val="00C75883"/>
    <w:rsid w:val="00C82BE9"/>
    <w:rsid w:val="00C95272"/>
    <w:rsid w:val="00C96555"/>
    <w:rsid w:val="00CA0A93"/>
    <w:rsid w:val="00CA1195"/>
    <w:rsid w:val="00CA2ADC"/>
    <w:rsid w:val="00CB4148"/>
    <w:rsid w:val="00CB455F"/>
    <w:rsid w:val="00CC313E"/>
    <w:rsid w:val="00CC4299"/>
    <w:rsid w:val="00CC5F06"/>
    <w:rsid w:val="00CD4D38"/>
    <w:rsid w:val="00CD589B"/>
    <w:rsid w:val="00CE678E"/>
    <w:rsid w:val="00CF3179"/>
    <w:rsid w:val="00CF4704"/>
    <w:rsid w:val="00CF7DC6"/>
    <w:rsid w:val="00D04281"/>
    <w:rsid w:val="00D202FA"/>
    <w:rsid w:val="00D22D2F"/>
    <w:rsid w:val="00D2565F"/>
    <w:rsid w:val="00D36B52"/>
    <w:rsid w:val="00D511D0"/>
    <w:rsid w:val="00D515EE"/>
    <w:rsid w:val="00D52F06"/>
    <w:rsid w:val="00D53B40"/>
    <w:rsid w:val="00D565DE"/>
    <w:rsid w:val="00D7108F"/>
    <w:rsid w:val="00D76223"/>
    <w:rsid w:val="00D818D1"/>
    <w:rsid w:val="00D82BC9"/>
    <w:rsid w:val="00D84A90"/>
    <w:rsid w:val="00D84B55"/>
    <w:rsid w:val="00D85920"/>
    <w:rsid w:val="00D85A0C"/>
    <w:rsid w:val="00D97867"/>
    <w:rsid w:val="00DB0E02"/>
    <w:rsid w:val="00DB2549"/>
    <w:rsid w:val="00DB35AA"/>
    <w:rsid w:val="00DB754C"/>
    <w:rsid w:val="00DC5C1D"/>
    <w:rsid w:val="00DC6311"/>
    <w:rsid w:val="00DC7C29"/>
    <w:rsid w:val="00DD4C02"/>
    <w:rsid w:val="00DD6A05"/>
    <w:rsid w:val="00DE642A"/>
    <w:rsid w:val="00DF5AB2"/>
    <w:rsid w:val="00E21F4A"/>
    <w:rsid w:val="00E33048"/>
    <w:rsid w:val="00E36FD5"/>
    <w:rsid w:val="00E43F4B"/>
    <w:rsid w:val="00E5044F"/>
    <w:rsid w:val="00E53107"/>
    <w:rsid w:val="00E5517C"/>
    <w:rsid w:val="00E60C82"/>
    <w:rsid w:val="00E7197A"/>
    <w:rsid w:val="00E875A6"/>
    <w:rsid w:val="00E92AE0"/>
    <w:rsid w:val="00E95FE8"/>
    <w:rsid w:val="00EA4634"/>
    <w:rsid w:val="00EB7836"/>
    <w:rsid w:val="00EC269C"/>
    <w:rsid w:val="00EC3B89"/>
    <w:rsid w:val="00EC4BE9"/>
    <w:rsid w:val="00EC7207"/>
    <w:rsid w:val="00EC745E"/>
    <w:rsid w:val="00ED2042"/>
    <w:rsid w:val="00ED37E3"/>
    <w:rsid w:val="00EE7D36"/>
    <w:rsid w:val="00EF4756"/>
    <w:rsid w:val="00EF4B27"/>
    <w:rsid w:val="00EF752A"/>
    <w:rsid w:val="00F02351"/>
    <w:rsid w:val="00F044F4"/>
    <w:rsid w:val="00F14A59"/>
    <w:rsid w:val="00F21AEA"/>
    <w:rsid w:val="00F3045D"/>
    <w:rsid w:val="00F325BD"/>
    <w:rsid w:val="00F43814"/>
    <w:rsid w:val="00F5007F"/>
    <w:rsid w:val="00F6141F"/>
    <w:rsid w:val="00F616C6"/>
    <w:rsid w:val="00F85736"/>
    <w:rsid w:val="00F85DEC"/>
    <w:rsid w:val="00F92E0F"/>
    <w:rsid w:val="00F932F2"/>
    <w:rsid w:val="00F93E7D"/>
    <w:rsid w:val="00F95D71"/>
    <w:rsid w:val="00FB0AD9"/>
    <w:rsid w:val="00FB1B1E"/>
    <w:rsid w:val="00FB6EB3"/>
    <w:rsid w:val="00FC3C9F"/>
    <w:rsid w:val="00FD0B6D"/>
    <w:rsid w:val="00FE28F6"/>
    <w:rsid w:val="00FE2E96"/>
    <w:rsid w:val="00FE39DF"/>
    <w:rsid w:val="00FE6E8E"/>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663913"/>
    <w:rPr>
      <w:color w:val="605E5C"/>
      <w:shd w:val="clear" w:color="auto" w:fill="E1DFDD"/>
    </w:rPr>
  </w:style>
  <w:style w:type="paragraph" w:styleId="Revision">
    <w:name w:val="Revision"/>
    <w:hidden/>
    <w:uiPriority w:val="99"/>
    <w:semiHidden/>
    <w:rsid w:val="0014628F"/>
  </w:style>
  <w:style w:type="character" w:customStyle="1" w:styleId="cf01">
    <w:name w:val="cf01"/>
    <w:basedOn w:val="DefaultParagraphFont"/>
    <w:rsid w:val="006E51EE"/>
    <w:rPr>
      <w:rFonts w:ascii="Meiryo UI" w:eastAsia="Meiryo UI" w:hAnsi="Meiryo UI" w:hint="eastAsia"/>
      <w:sz w:val="18"/>
      <w:szCs w:val="18"/>
    </w:rPr>
  </w:style>
  <w:style w:type="character" w:customStyle="1" w:styleId="A2">
    <w:name w:val="A2"/>
    <w:uiPriority w:val="99"/>
    <w:rsid w:val="00E5044F"/>
    <w:rPr>
      <w:rFonts w:cs="HelveticaNeueLT Pro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21922941">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427040890">
      <w:bodyDiv w:val="1"/>
      <w:marLeft w:val="0"/>
      <w:marRight w:val="0"/>
      <w:marTop w:val="0"/>
      <w:marBottom w:val="0"/>
      <w:divBdr>
        <w:top w:val="none" w:sz="0" w:space="0" w:color="auto"/>
        <w:left w:val="none" w:sz="0" w:space="0" w:color="auto"/>
        <w:bottom w:val="none" w:sz="0" w:space="0" w:color="auto"/>
        <w:right w:val="none" w:sz="0" w:space="0" w:color="auto"/>
      </w:divBdr>
    </w:div>
    <w:div w:id="451872584">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11186580">
      <w:bodyDiv w:val="1"/>
      <w:marLeft w:val="0"/>
      <w:marRight w:val="0"/>
      <w:marTop w:val="0"/>
      <w:marBottom w:val="0"/>
      <w:divBdr>
        <w:top w:val="none" w:sz="0" w:space="0" w:color="auto"/>
        <w:left w:val="none" w:sz="0" w:space="0" w:color="auto"/>
        <w:bottom w:val="none" w:sz="0" w:space="0" w:color="auto"/>
        <w:right w:val="none" w:sz="0" w:space="0" w:color="auto"/>
      </w:divBdr>
    </w:div>
    <w:div w:id="563108090">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7930912">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01267105">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964851956">
      <w:bodyDiv w:val="1"/>
      <w:marLeft w:val="0"/>
      <w:marRight w:val="0"/>
      <w:marTop w:val="0"/>
      <w:marBottom w:val="0"/>
      <w:divBdr>
        <w:top w:val="none" w:sz="0" w:space="0" w:color="auto"/>
        <w:left w:val="none" w:sz="0" w:space="0" w:color="auto"/>
        <w:bottom w:val="none" w:sz="0" w:space="0" w:color="auto"/>
        <w:right w:val="none" w:sz="0" w:space="0" w:color="auto"/>
      </w:divBdr>
    </w:div>
    <w:div w:id="994257705">
      <w:bodyDiv w:val="1"/>
      <w:marLeft w:val="0"/>
      <w:marRight w:val="0"/>
      <w:marTop w:val="0"/>
      <w:marBottom w:val="0"/>
      <w:divBdr>
        <w:top w:val="none" w:sz="0" w:space="0" w:color="auto"/>
        <w:left w:val="none" w:sz="0" w:space="0" w:color="auto"/>
        <w:bottom w:val="none" w:sz="0" w:space="0" w:color="auto"/>
        <w:right w:val="none" w:sz="0" w:space="0" w:color="auto"/>
      </w:divBdr>
    </w:div>
    <w:div w:id="1044789411">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576010537">
      <w:bodyDiv w:val="1"/>
      <w:marLeft w:val="0"/>
      <w:marRight w:val="0"/>
      <w:marTop w:val="0"/>
      <w:marBottom w:val="0"/>
      <w:divBdr>
        <w:top w:val="none" w:sz="0" w:space="0" w:color="auto"/>
        <w:left w:val="none" w:sz="0" w:space="0" w:color="auto"/>
        <w:bottom w:val="none" w:sz="0" w:space="0" w:color="auto"/>
        <w:right w:val="none" w:sz="0" w:space="0" w:color="auto"/>
      </w:divBdr>
    </w:div>
    <w:div w:id="1607541600">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04687049">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71650995">
      <w:bodyDiv w:val="1"/>
      <w:marLeft w:val="0"/>
      <w:marRight w:val="0"/>
      <w:marTop w:val="0"/>
      <w:marBottom w:val="0"/>
      <w:divBdr>
        <w:top w:val="none" w:sz="0" w:space="0" w:color="auto"/>
        <w:left w:val="none" w:sz="0" w:space="0" w:color="auto"/>
        <w:bottom w:val="none" w:sz="0" w:space="0" w:color="auto"/>
        <w:right w:val="none" w:sz="0" w:space="0" w:color="auto"/>
      </w:divBdr>
    </w:div>
    <w:div w:id="1884634598">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ninger-group.com" TargetMode="External"/><Relationship Id="rId5" Type="http://schemas.openxmlformats.org/officeDocument/2006/relationships/webSettings" Target="webSettings.xml"/><Relationship Id="rId10" Type="http://schemas.openxmlformats.org/officeDocument/2006/relationships/hyperlink" Target="mailto:g.clark@groningerusa.com" TargetMode="External"/><Relationship Id="rId4" Type="http://schemas.openxmlformats.org/officeDocument/2006/relationships/settings" Target="settings.xml"/><Relationship Id="rId9" Type="http://schemas.openxmlformats.org/officeDocument/2006/relationships/hyperlink" Target="mailto:cdale@turch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A8BC-25ED-4510-9426-6DF1BF66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5753</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4</cp:revision>
  <cp:lastPrinted>2017-10-24T15:59:00Z</cp:lastPrinted>
  <dcterms:created xsi:type="dcterms:W3CDTF">2024-10-16T13:07:00Z</dcterms:created>
  <dcterms:modified xsi:type="dcterms:W3CDTF">2024-10-16T13:57:00Z</dcterms:modified>
</cp:coreProperties>
</file>